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《经济法概论实习》教学大纲</w:t>
      </w:r>
    </w:p>
    <w:p>
      <w:pPr>
        <w:spacing w:line="300" w:lineRule="auto"/>
        <w:ind w:firstLine="420" w:firstLineChars="200"/>
        <w:rPr>
          <w:rFonts w:hint="eastAsia" w:ascii="黑体" w:hAnsi="黑体" w:eastAsia="黑体"/>
        </w:rPr>
      </w:pPr>
    </w:p>
    <w:p>
      <w:pPr>
        <w:spacing w:line="300" w:lineRule="auto"/>
        <w:ind w:firstLine="420" w:firstLineChars="200"/>
        <w:rPr>
          <w:rFonts w:ascii="宋体" w:hAnsi="宋体"/>
        </w:rPr>
      </w:pPr>
      <w:r>
        <w:rPr>
          <w:rFonts w:hint="eastAsia" w:ascii="黑体" w:hAnsi="黑体" w:eastAsia="黑体"/>
        </w:rPr>
        <w:t>课程名称：</w:t>
      </w:r>
      <w:r>
        <w:rPr>
          <w:rFonts w:hint="eastAsia" w:ascii="黑体" w:hAnsi="黑体" w:eastAsia="STSong"/>
        </w:rPr>
        <w:t>经济法概论</w:t>
      </w:r>
      <w:r>
        <w:rPr>
          <w:rFonts w:hint="eastAsia" w:ascii="宋体" w:hAnsi="宋体"/>
        </w:rPr>
        <w:t xml:space="preserve">实习  </w:t>
      </w:r>
      <w:r>
        <w:rPr>
          <w:rFonts w:hint="eastAsia" w:ascii="黑体" w:hAnsi="黑体" w:eastAsia="黑体"/>
        </w:rPr>
        <w:t xml:space="preserve">        </w:t>
      </w:r>
      <w:r>
        <w:rPr>
          <w:rFonts w:hint="eastAsia"/>
        </w:rPr>
        <w:t xml:space="preserve"> </w:t>
      </w:r>
      <w:r>
        <w:t xml:space="preserve">  </w:t>
      </w:r>
      <w:r>
        <w:rPr>
          <w:rFonts w:hint="eastAsia" w:ascii="黑体" w:hAnsi="黑体" w:eastAsia="黑体"/>
        </w:rPr>
        <w:t>课程英文名称：</w:t>
      </w:r>
      <w:r>
        <w:rPr>
          <w:rFonts w:ascii="宋体" w:hAnsi="宋体"/>
        </w:rPr>
        <w:t xml:space="preserve">Introduction to Economic Law </w:t>
      </w:r>
    </w:p>
    <w:p>
      <w:pPr>
        <w:spacing w:line="300" w:lineRule="auto"/>
        <w:ind w:firstLine="5775" w:firstLineChars="2750"/>
      </w:pPr>
      <w:r>
        <w:rPr>
          <w:rFonts w:ascii="宋体" w:hAnsi="宋体"/>
        </w:rPr>
        <w:t>Principles</w:t>
      </w:r>
    </w:p>
    <w:p>
      <w:pPr>
        <w:spacing w:line="300" w:lineRule="auto"/>
        <w:ind w:firstLine="420" w:firstLineChars="200"/>
        <w:rPr>
          <w:rFonts w:ascii="宋体" w:hAnsi="宋体"/>
          <w:highlight w:val="yellow"/>
        </w:rPr>
      </w:pPr>
      <w:r>
        <w:rPr>
          <w:rFonts w:hint="eastAsia" w:ascii="黑体" w:hAnsi="黑体" w:eastAsia="黑体"/>
        </w:rPr>
        <w:t>课程编码：</w:t>
      </w:r>
      <w:r>
        <w:rPr>
          <w:rFonts w:ascii="宋体" w:hAnsi="宋体"/>
        </w:rPr>
        <w:t>11109029</w:t>
      </w:r>
      <w:r>
        <w:rPr>
          <w:rFonts w:hint="eastAsia" w:ascii="黑体" w:hAnsi="黑体" w:eastAsia="黑体"/>
        </w:rPr>
        <w:t xml:space="preserve">                </w:t>
      </w:r>
      <w:r>
        <w:rPr>
          <w:rFonts w:ascii="黑体" w:hAnsi="黑体" w:eastAsia="黑体"/>
        </w:rPr>
        <w:t xml:space="preserve">  </w:t>
      </w:r>
      <w:r>
        <w:rPr>
          <w:rFonts w:ascii="黑体" w:hAnsi="黑体" w:eastAsia="黑体"/>
        </w:rPr>
        <w:t xml:space="preserve"> </w:t>
      </w:r>
      <w:r>
        <w:rPr>
          <w:rFonts w:hint="eastAsia" w:ascii="黑体" w:hAnsi="黑体" w:eastAsia="黑体"/>
        </w:rPr>
        <w:t>课程类别/性质：</w:t>
      </w:r>
      <w:r>
        <w:rPr>
          <w:rFonts w:hint="eastAsia" w:ascii="宋体" w:hAnsi="宋体" w:eastAsia="STSong"/>
          <w:lang w:val="en-US" w:eastAsia="zh-Hans"/>
        </w:rPr>
        <w:t>集中实习</w:t>
      </w:r>
      <w:r>
        <w:rPr>
          <w:rFonts w:hint="eastAsia" w:ascii="宋体" w:hAnsi="宋体"/>
        </w:rPr>
        <w:t>/必修</w:t>
      </w:r>
    </w:p>
    <w:p>
      <w:pPr>
        <w:spacing w:line="300" w:lineRule="auto"/>
        <w:ind w:firstLine="420" w:firstLineChars="200"/>
        <w:rPr>
          <w:rFonts w:ascii="宋体" w:hAnsi="宋体"/>
        </w:rPr>
      </w:pPr>
      <w:r>
        <w:rPr>
          <w:rFonts w:hint="eastAsia" w:ascii="黑体" w:hAnsi="黑体" w:eastAsia="黑体"/>
        </w:rPr>
        <w:t>学    分：</w:t>
      </w:r>
      <w:r>
        <w:rPr>
          <w:rFonts w:ascii="宋体" w:hAnsi="宋体"/>
        </w:rPr>
        <w:t>1</w:t>
      </w:r>
      <w:r>
        <w:rPr>
          <w:rFonts w:hint="eastAsia" w:ascii="宋体" w:hAnsi="宋体"/>
        </w:rPr>
        <w:t xml:space="preserve"> </w:t>
      </w:r>
      <w:r>
        <w:rPr>
          <w:rFonts w:hint="eastAsia" w:ascii="黑体" w:hAnsi="黑体" w:eastAsia="黑体"/>
        </w:rPr>
        <w:t xml:space="preserve">                         </w:t>
      </w:r>
      <w:r>
        <w:rPr>
          <w:rFonts w:hint="eastAsia" w:ascii="黑体" w:hAnsi="黑体" w:eastAsia="黑体"/>
          <w:lang w:val="en-US" w:eastAsia="zh-Hans"/>
        </w:rPr>
        <w:t>周</w:t>
      </w:r>
      <w:r>
        <w:rPr>
          <w:rFonts w:hint="default" w:ascii="黑体" w:hAnsi="黑体" w:eastAsia="黑体"/>
          <w:lang w:eastAsia="zh-Hans"/>
        </w:rPr>
        <w:t xml:space="preserve">    </w:t>
      </w:r>
      <w:r>
        <w:rPr>
          <w:rFonts w:hint="eastAsia" w:ascii="黑体" w:hAnsi="黑体" w:eastAsia="黑体"/>
          <w:lang w:val="en-US" w:eastAsia="zh-Hans"/>
        </w:rPr>
        <w:t>数</w:t>
      </w:r>
      <w:r>
        <w:rPr>
          <w:rFonts w:hint="eastAsia" w:ascii="黑体" w:hAnsi="黑体" w:eastAsia="黑体"/>
        </w:rPr>
        <w:t>：</w:t>
      </w:r>
      <w:r>
        <w:rPr>
          <w:rFonts w:ascii="宋体" w:hAnsi="宋体"/>
        </w:rPr>
        <w:t>10</w:t>
      </w:r>
      <w:r>
        <w:rPr>
          <w:rFonts w:hint="eastAsia" w:ascii="宋体" w:hAnsi="宋体"/>
          <w:lang w:val="en-US" w:eastAsia="zh-Hans"/>
        </w:rPr>
        <w:t>周</w:t>
      </w:r>
    </w:p>
    <w:p>
      <w:pPr>
        <w:spacing w:line="300" w:lineRule="auto"/>
        <w:ind w:firstLine="420" w:firstLineChars="200"/>
        <w:rPr>
          <w:rFonts w:ascii="黑体" w:hAnsi="黑体" w:eastAsia="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适用专业：</w:t>
      </w:r>
      <w:r>
        <w:rPr>
          <w:rFonts w:hint="eastAsia" w:ascii="宋体" w:hAnsi="宋体"/>
        </w:rPr>
        <w:t>市场营销</w:t>
      </w:r>
    </w:p>
    <w:p>
      <w:pPr>
        <w:spacing w:line="300" w:lineRule="auto"/>
        <w:ind w:firstLine="420" w:firstLineChars="200"/>
        <w:rPr>
          <w:rFonts w:ascii="黑体" w:hAnsi="黑体" w:eastAsia="黑体"/>
        </w:rPr>
      </w:pPr>
      <w:r>
        <w:rPr>
          <w:rFonts w:hint="eastAsia" w:ascii="黑体" w:hAnsi="黑体" w:eastAsia="黑体"/>
        </w:rPr>
        <w:t>先修课程：</w:t>
      </w:r>
      <w:r>
        <w:rPr>
          <w:rFonts w:hint="eastAsia" w:ascii="宋体" w:hAnsi="宋体" w:cs="宋体"/>
        </w:rPr>
        <w:t>微观经济学、宏观经济学</w:t>
      </w:r>
      <w:r>
        <w:rPr>
          <w:rFonts w:hint="eastAsia" w:ascii="宋体" w:hAnsi="宋体"/>
        </w:rPr>
        <w:t xml:space="preserve"> </w:t>
      </w:r>
      <w:r>
        <w:rPr>
          <w:rFonts w:ascii="宋体" w:hAnsi="宋体"/>
        </w:rPr>
        <w:t xml:space="preserve">    </w:t>
      </w:r>
    </w:p>
    <w:p>
      <w:pPr>
        <w:spacing w:line="360" w:lineRule="auto"/>
        <w:rPr>
          <w:rFonts w:hint="eastAsia"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 xml:space="preserve">一、课程简介 </w:t>
      </w:r>
    </w:p>
    <w:p>
      <w:pPr>
        <w:spacing w:line="300" w:lineRule="auto"/>
        <w:ind w:firstLine="420" w:firstLineChars="200"/>
      </w:pPr>
      <w:r>
        <w:rPr>
          <w:rFonts w:hint="eastAsia"/>
        </w:rPr>
        <w:t>《经济法概论实习》是市场营销专业一门专业实践课，让学生在学习经济法理论课的同时，了解经济法律规范的学习和研究程序，学生系统地、准确地理解和掌握经济法的基本原理、具体法律制度及其相应的规范，培养学生的法律意识，提升学生的法律素养，拓展和优化学生的知识结构，使学生在掌握经济法的规律性、原理性和知识性的基础上，获得能够比较专业地解释涉法事务和解决具体问题得能力，帮助其成长为具有较强职业能力得管理人才。保证学生达成专业的相应毕业要求。</w:t>
      </w:r>
    </w:p>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r>
        <w:rPr>
          <w:rFonts w:hint="eastAsia"/>
          <w:b/>
          <w:bCs/>
          <w:szCs w:val="21"/>
        </w:rPr>
        <w:t>（一）课程目标</w:t>
      </w:r>
    </w:p>
    <w:p>
      <w:pPr>
        <w:suppressAutoHyphens/>
        <w:spacing w:line="300" w:lineRule="auto"/>
        <w:ind w:firstLine="420" w:firstLineChars="200"/>
        <w:rPr>
          <w:szCs w:val="21"/>
        </w:rPr>
      </w:pPr>
      <w:r>
        <w:rPr>
          <w:rFonts w:hint="eastAsia"/>
          <w:b/>
          <w:bCs/>
          <w:szCs w:val="21"/>
        </w:rPr>
        <w:t>目标1：价值目标</w:t>
      </w:r>
    </w:p>
    <w:p>
      <w:pPr>
        <w:suppressAutoHyphens/>
        <w:spacing w:line="300" w:lineRule="auto"/>
        <w:ind w:firstLine="420" w:firstLineChars="200"/>
        <w:rPr>
          <w:szCs w:val="21"/>
        </w:rPr>
      </w:pPr>
      <w:r>
        <w:rPr>
          <w:rFonts w:hint="eastAsia"/>
          <w:szCs w:val="21"/>
        </w:rPr>
        <w:t>通过本课程的教学，应使学生获得良好的法律自学能力和职业道德训练，具有较高的法律素养，形成以强烈的秩序观念和在秩序下创造的主动进取精神为核心的法治精神。</w:t>
      </w:r>
    </w:p>
    <w:p>
      <w:pPr>
        <w:suppressAutoHyphens/>
        <w:spacing w:line="300" w:lineRule="auto"/>
        <w:ind w:firstLine="420" w:firstLineChars="200"/>
        <w:rPr>
          <w:szCs w:val="21"/>
        </w:rPr>
      </w:pPr>
      <w:r>
        <w:rPr>
          <w:rFonts w:hint="eastAsia"/>
          <w:b/>
          <w:szCs w:val="20"/>
        </w:rPr>
        <w:t>目标2：知识</w:t>
      </w:r>
      <w:r>
        <w:rPr>
          <w:rFonts w:hint="eastAsia"/>
          <w:b/>
          <w:bCs/>
          <w:szCs w:val="21"/>
        </w:rPr>
        <w:t>目标</w:t>
      </w:r>
    </w:p>
    <w:p>
      <w:pPr>
        <w:suppressAutoHyphens/>
        <w:spacing w:line="300" w:lineRule="auto"/>
        <w:ind w:firstLine="420" w:firstLineChars="200"/>
        <w:rPr>
          <w:szCs w:val="21"/>
        </w:rPr>
      </w:pPr>
      <w:r>
        <w:rPr>
          <w:rFonts w:hint="eastAsia"/>
          <w:szCs w:val="21"/>
        </w:rPr>
        <w:t>通过本课程的教学，应使学生做到：（1）了解经济法的发展概况。（2）握经济法的基本概念、基本理论，基本建立起经济法知识框架。 （3）掌握我国经济法的基本精神和具体规定。 （4）了解或掌握主要经济法律制度内容。</w:t>
      </w:r>
    </w:p>
    <w:p>
      <w:pPr>
        <w:suppressAutoHyphens/>
        <w:spacing w:line="300" w:lineRule="auto"/>
        <w:ind w:firstLine="420" w:firstLineChars="200"/>
        <w:rPr>
          <w:b/>
          <w:szCs w:val="20"/>
        </w:rPr>
      </w:pPr>
      <w:r>
        <w:rPr>
          <w:rFonts w:hint="eastAsia"/>
          <w:b/>
          <w:szCs w:val="20"/>
        </w:rPr>
        <w:t>目标3：能力目标</w:t>
      </w:r>
    </w:p>
    <w:p>
      <w:pPr>
        <w:spacing w:line="300" w:lineRule="auto"/>
        <w:ind w:firstLine="420" w:firstLineChars="200"/>
      </w:pPr>
      <w:r>
        <w:rPr>
          <w:rFonts w:hint="eastAsia" w:ascii="宋体" w:hAnsi="宋体" w:cs="宋体"/>
          <w:color w:val="000000"/>
          <w:kern w:val="0"/>
          <w:szCs w:val="21"/>
        </w:rPr>
        <w:t>通过本课程的教学，应使学生做到：（1）具有必要的法律分析能力，能对今后职业生涯中的权利义务有正确的认识和判断，从而避免不必要的法律纠纷。（2）具有较高的法律解读能力、认知能力，能判断行为的合法与否，避免行差踏错。（3）能以基本的法律逻辑和知识要点正确分析典型案例，办理具体法律事务和寻求到正确有效的解决涉法问题的途径。</w:t>
      </w:r>
    </w:p>
    <w:p>
      <w:pPr>
        <w:spacing w:line="300" w:lineRule="auto"/>
        <w:rPr>
          <w:rFonts w:ascii="宋体" w:hAnsi="宋体"/>
          <w:b/>
        </w:rPr>
      </w:pPr>
      <w:r>
        <w:rPr>
          <w:rFonts w:hint="eastAsia" w:ascii="宋体" w:hAnsi="宋体"/>
          <w:b/>
        </w:rPr>
        <w:t>（二）课程目标对毕业要求</w:t>
      </w:r>
      <w:r>
        <w:t>（</w:t>
      </w:r>
      <w:r>
        <w:rPr>
          <w:b/>
        </w:rPr>
        <w:t>GR）</w:t>
      </w:r>
      <w:r>
        <w:rPr>
          <w:rFonts w:hint="eastAsia" w:ascii="宋体" w:hAnsi="宋体"/>
          <w:b/>
        </w:rPr>
        <w:t>指标点的支撑关系</w:t>
      </w:r>
    </w:p>
    <w:p>
      <w:pPr>
        <w:suppressAutoHyphens/>
        <w:spacing w:line="300" w:lineRule="auto"/>
        <w:ind w:firstLine="204" w:firstLineChars="100"/>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表1</w:t>
      </w:r>
      <w:r>
        <w:rPr>
          <w:rFonts w:ascii="黑体" w:hAnsi="黑体" w:eastAsia="黑体"/>
          <w:bCs/>
          <w:spacing w:val="-3"/>
          <w:kern w:val="28"/>
          <w:szCs w:val="21"/>
          <w:lang w:val="en-GB"/>
        </w:rPr>
        <w:t>：</w:t>
      </w:r>
      <w:r>
        <w:rPr>
          <w:rFonts w:hint="eastAsia" w:ascii="黑体" w:hAnsi="黑体" w:eastAsia="黑体"/>
          <w:bCs/>
          <w:spacing w:val="-3"/>
          <w:kern w:val="28"/>
          <w:szCs w:val="21"/>
          <w:lang w:val="en-GB"/>
        </w:rPr>
        <w:t>《经济</w:t>
      </w:r>
      <w:r>
        <w:rPr>
          <w:rFonts w:hint="eastAsia" w:ascii="黑体" w:hAnsi="黑体" w:eastAsia="黑体"/>
          <w:bCs/>
          <w:spacing w:val="-3"/>
          <w:kern w:val="28"/>
          <w:szCs w:val="21"/>
          <w:lang w:val="en-US" w:eastAsia="zh-Hans"/>
        </w:rPr>
        <w:t>法概论</w:t>
      </w:r>
      <w:r>
        <w:rPr>
          <w:rFonts w:hint="eastAsia" w:ascii="黑体" w:hAnsi="黑体" w:eastAsia="黑体"/>
          <w:bCs/>
          <w:spacing w:val="-3"/>
          <w:kern w:val="28"/>
          <w:szCs w:val="21"/>
          <w:lang w:val="en-GB"/>
        </w:rPr>
        <w:t>实习》</w:t>
      </w:r>
      <w:r>
        <w:rPr>
          <w:rFonts w:ascii="黑体" w:hAnsi="黑体" w:eastAsia="黑体"/>
          <w:bCs/>
          <w:spacing w:val="-3"/>
          <w:kern w:val="28"/>
          <w:szCs w:val="21"/>
          <w:lang w:val="en-GB"/>
        </w:rPr>
        <w:t>课程</w:t>
      </w:r>
      <w:r>
        <w:rPr>
          <w:rFonts w:hint="eastAsia" w:ascii="黑体" w:hAnsi="黑体" w:eastAsia="黑体"/>
          <w:bCs/>
          <w:spacing w:val="-3"/>
          <w:kern w:val="28"/>
          <w:szCs w:val="21"/>
          <w:lang w:val="en-GB"/>
        </w:rPr>
        <w:t>教学</w:t>
      </w:r>
      <w:r>
        <w:rPr>
          <w:rFonts w:ascii="黑体" w:hAnsi="黑体" w:eastAsia="黑体"/>
          <w:bCs/>
          <w:spacing w:val="-3"/>
          <w:kern w:val="28"/>
          <w:szCs w:val="21"/>
          <w:lang w:val="en-GB"/>
        </w:rPr>
        <w:t>目标与</w:t>
      </w:r>
      <w:r>
        <w:rPr>
          <w:rFonts w:hint="eastAsia" w:ascii="黑体" w:hAnsi="黑体" w:eastAsia="黑体"/>
          <w:bCs/>
          <w:spacing w:val="-3"/>
          <w:kern w:val="28"/>
          <w:szCs w:val="21"/>
          <w:lang w:val="en-GB"/>
        </w:rPr>
        <w:t>课程所支撑的</w:t>
      </w:r>
      <w:r>
        <w:rPr>
          <w:rFonts w:ascii="黑体" w:hAnsi="黑体" w:eastAsia="黑体"/>
          <w:bCs/>
          <w:spacing w:val="-3"/>
          <w:kern w:val="28"/>
          <w:szCs w:val="21"/>
          <w:lang w:val="en-GB"/>
        </w:rPr>
        <w:t>毕业要求指标点的对应关系</w:t>
      </w:r>
    </w:p>
    <w:tbl>
      <w:tblPr>
        <w:tblStyle w:val="7"/>
        <w:tblW w:w="50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1"/>
        <w:gridCol w:w="1574"/>
        <w:gridCol w:w="2481"/>
        <w:gridCol w:w="2405"/>
        <w:gridCol w:w="1093"/>
      </w:tblGrid>
      <w:tr>
        <w:trPr>
          <w:jc w:val="center"/>
        </w:trPr>
        <w:tc>
          <w:tcPr>
            <w:tcW w:w="770"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570"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2475"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2399" w:type="dxa"/>
            <w:shd w:val="clear" w:color="auto" w:fill="D5DCE4"/>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090"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vAlign w:val="center"/>
          </w:tcPr>
          <w:p>
            <w:pPr>
              <w:snapToGrid w:val="0"/>
              <w:jc w:val="center"/>
              <w:rPr>
                <w:rFonts w:ascii="宋体" w:hAnsi="宋体"/>
                <w:bCs/>
                <w:sz w:val="18"/>
                <w:szCs w:val="18"/>
              </w:rPr>
            </w:pPr>
            <w:r>
              <w:rPr>
                <w:rFonts w:ascii="宋体" w:hAnsi="宋体"/>
                <w:bCs/>
                <w:sz w:val="18"/>
                <w:szCs w:val="18"/>
              </w:rPr>
              <w:t>1</w:t>
            </w:r>
          </w:p>
        </w:tc>
        <w:tc>
          <w:tcPr>
            <w:tcW w:w="1570" w:type="dxa"/>
            <w:vAlign w:val="center"/>
          </w:tcPr>
          <w:p>
            <w:pPr>
              <w:snapToGrid w:val="0"/>
              <w:jc w:val="center"/>
              <w:rPr>
                <w:rFonts w:ascii="宋体" w:hAnsi="宋体"/>
                <w:bCs/>
                <w:sz w:val="18"/>
                <w:szCs w:val="18"/>
              </w:rPr>
            </w:pPr>
            <w:r>
              <w:rPr>
                <w:rFonts w:hint="eastAsia" w:ascii="宋体" w:hAnsi="宋体"/>
                <w:bCs/>
                <w:sz w:val="18"/>
                <w:szCs w:val="18"/>
              </w:rPr>
              <w:t>课程目标1</w:t>
            </w:r>
          </w:p>
        </w:tc>
        <w:tc>
          <w:tcPr>
            <w:tcW w:w="2475" w:type="dxa"/>
            <w:vAlign w:val="center"/>
          </w:tcPr>
          <w:p>
            <w:pPr>
              <w:snapToGrid w:val="0"/>
              <w:jc w:val="left"/>
              <w:rPr>
                <w:rFonts w:ascii="宋体" w:hAnsi="宋体"/>
                <w:bCs/>
                <w:sz w:val="18"/>
                <w:szCs w:val="18"/>
              </w:rPr>
            </w:pPr>
            <w:r>
              <w:rPr>
                <w:rFonts w:hint="eastAsia" w:ascii="宋体" w:hAnsi="宋体"/>
                <w:bCs/>
                <w:sz w:val="18"/>
                <w:szCs w:val="18"/>
              </w:rPr>
              <w:t>GR1：专业学科知识:掌握系统的学科知识,学会运用科学研究方法,用以指导未来的学习和实践</w:t>
            </w:r>
          </w:p>
        </w:tc>
        <w:tc>
          <w:tcPr>
            <w:tcW w:w="2399" w:type="dxa"/>
            <w:vAlign w:val="center"/>
          </w:tcPr>
          <w:p>
            <w:pPr>
              <w:snapToGrid w:val="0"/>
              <w:ind w:firstLine="360" w:firstLineChars="200"/>
              <w:rPr>
                <w:rFonts w:ascii="宋体" w:hAnsi="宋体"/>
                <w:bCs/>
                <w:sz w:val="18"/>
                <w:szCs w:val="18"/>
              </w:rPr>
            </w:pPr>
            <w:r>
              <w:rPr>
                <w:rFonts w:hint="eastAsia" w:ascii="宋体" w:hAnsi="宋体"/>
                <w:bCs/>
                <w:sz w:val="18"/>
                <w:szCs w:val="18"/>
              </w:rPr>
              <w:t>1.1 掌握经济及管理类的基本理论知识和原理，用于营销等相关领域的问题表述。</w:t>
            </w:r>
          </w:p>
        </w:tc>
        <w:tc>
          <w:tcPr>
            <w:tcW w:w="1090" w:type="dxa"/>
            <w:vAlign w:val="center"/>
          </w:tcPr>
          <w:p>
            <w:pPr>
              <w:snapToGrid w:val="0"/>
              <w:ind w:firstLine="360" w:firstLineChars="200"/>
              <w:rPr>
                <w:rFonts w:ascii="宋体" w:hAnsi="宋体"/>
                <w:bCs/>
                <w:sz w:val="18"/>
                <w:szCs w:val="18"/>
              </w:rPr>
            </w:pPr>
            <w:r>
              <w:rPr>
                <w:rFonts w:hint="eastAsia" w:ascii="宋体" w:hAnsi="宋体"/>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vAlign w:val="center"/>
          </w:tcPr>
          <w:p>
            <w:pPr>
              <w:snapToGrid w:val="0"/>
              <w:jc w:val="center"/>
              <w:rPr>
                <w:rFonts w:ascii="宋体" w:hAnsi="宋体"/>
                <w:bCs/>
                <w:sz w:val="18"/>
                <w:szCs w:val="18"/>
              </w:rPr>
            </w:pPr>
            <w:r>
              <w:rPr>
                <w:rFonts w:ascii="宋体" w:hAnsi="宋体"/>
                <w:bCs/>
                <w:sz w:val="18"/>
                <w:szCs w:val="18"/>
              </w:rPr>
              <w:t>2</w:t>
            </w:r>
          </w:p>
        </w:tc>
        <w:tc>
          <w:tcPr>
            <w:tcW w:w="1570" w:type="dxa"/>
            <w:vAlign w:val="center"/>
          </w:tcPr>
          <w:p>
            <w:pPr>
              <w:snapToGrid w:val="0"/>
              <w:jc w:val="center"/>
              <w:rPr>
                <w:rFonts w:ascii="宋体" w:hAnsi="宋体"/>
                <w:bCs/>
                <w:sz w:val="18"/>
                <w:szCs w:val="18"/>
              </w:rPr>
            </w:pPr>
            <w:r>
              <w:rPr>
                <w:rFonts w:hint="eastAsia" w:ascii="宋体" w:hAnsi="宋体"/>
                <w:bCs/>
                <w:sz w:val="18"/>
                <w:szCs w:val="18"/>
              </w:rPr>
              <w:t>课程目标2</w:t>
            </w:r>
          </w:p>
        </w:tc>
        <w:tc>
          <w:tcPr>
            <w:tcW w:w="2475" w:type="dxa"/>
            <w:vAlign w:val="center"/>
          </w:tcPr>
          <w:p>
            <w:pPr>
              <w:snapToGrid w:val="0"/>
              <w:jc w:val="left"/>
              <w:rPr>
                <w:rFonts w:ascii="宋体" w:hAnsi="宋体"/>
                <w:bCs/>
                <w:sz w:val="18"/>
                <w:szCs w:val="18"/>
              </w:rPr>
            </w:pPr>
            <w:r>
              <w:rPr>
                <w:rFonts w:hint="eastAsia" w:ascii="宋体" w:hAnsi="宋体"/>
                <w:bCs/>
                <w:sz w:val="18"/>
                <w:szCs w:val="18"/>
              </w:rPr>
              <w:t>GR2：解决问题能力:具有综合运用不同学科知识开展分析和解决实际问题的能力,能够学以致用,融会贯通。</w:t>
            </w:r>
          </w:p>
        </w:tc>
        <w:tc>
          <w:tcPr>
            <w:tcW w:w="2399" w:type="dxa"/>
            <w:vAlign w:val="center"/>
          </w:tcPr>
          <w:p>
            <w:pPr>
              <w:snapToGrid w:val="0"/>
              <w:ind w:firstLine="360" w:firstLineChars="200"/>
              <w:rPr>
                <w:rFonts w:ascii="宋体" w:hAnsi="宋体"/>
                <w:bCs/>
                <w:sz w:val="18"/>
                <w:szCs w:val="18"/>
              </w:rPr>
            </w:pPr>
            <w:r>
              <w:rPr>
                <w:rFonts w:hint="eastAsia" w:ascii="宋体" w:hAnsi="宋体"/>
                <w:bCs/>
                <w:sz w:val="18"/>
                <w:szCs w:val="18"/>
              </w:rPr>
              <w:t>2.3 能够运用经济管理类学科综合知识识别市场营销领域的各种问题，寻求不同的解决方案。</w:t>
            </w:r>
          </w:p>
        </w:tc>
        <w:tc>
          <w:tcPr>
            <w:tcW w:w="1090"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vAlign w:val="center"/>
          </w:tcPr>
          <w:p>
            <w:pPr>
              <w:snapToGrid w:val="0"/>
              <w:jc w:val="center"/>
              <w:rPr>
                <w:rFonts w:ascii="宋体" w:hAnsi="宋体"/>
                <w:bCs/>
                <w:sz w:val="18"/>
                <w:szCs w:val="18"/>
              </w:rPr>
            </w:pPr>
            <w:r>
              <w:rPr>
                <w:rFonts w:hint="eastAsia" w:ascii="宋体" w:hAnsi="宋体"/>
                <w:bCs/>
                <w:sz w:val="18"/>
                <w:szCs w:val="18"/>
              </w:rPr>
              <w:t>3</w:t>
            </w:r>
          </w:p>
        </w:tc>
        <w:tc>
          <w:tcPr>
            <w:tcW w:w="1570" w:type="dxa"/>
            <w:vAlign w:val="center"/>
          </w:tcPr>
          <w:p>
            <w:pPr>
              <w:snapToGrid w:val="0"/>
              <w:jc w:val="center"/>
              <w:rPr>
                <w:rFonts w:ascii="宋体" w:hAnsi="宋体"/>
                <w:bCs/>
                <w:sz w:val="18"/>
                <w:szCs w:val="18"/>
              </w:rPr>
            </w:pPr>
            <w:r>
              <w:rPr>
                <w:rFonts w:hint="eastAsia" w:ascii="宋体" w:hAnsi="宋体"/>
                <w:bCs/>
                <w:sz w:val="18"/>
                <w:szCs w:val="18"/>
              </w:rPr>
              <w:t>课程目标3</w:t>
            </w:r>
          </w:p>
        </w:tc>
        <w:tc>
          <w:tcPr>
            <w:tcW w:w="2475" w:type="dxa"/>
            <w:vAlign w:val="center"/>
          </w:tcPr>
          <w:p>
            <w:pPr>
              <w:snapToGrid w:val="0"/>
              <w:jc w:val="left"/>
              <w:rPr>
                <w:rFonts w:ascii="宋体" w:hAnsi="宋体"/>
                <w:bCs/>
                <w:sz w:val="18"/>
                <w:szCs w:val="18"/>
              </w:rPr>
            </w:pPr>
            <w:r>
              <w:rPr>
                <w:rFonts w:hint="eastAsia" w:ascii="宋体" w:hAnsi="宋体"/>
                <w:bCs/>
                <w:sz w:val="18"/>
                <w:szCs w:val="18"/>
              </w:rPr>
              <w:t>GR7：社会实践能力:能有效运用所学专业知识开展社会实践,能掌握社会统计、社会分析、社会调查等基本方法,开展实务工作。</w:t>
            </w:r>
          </w:p>
        </w:tc>
        <w:tc>
          <w:tcPr>
            <w:tcW w:w="2399" w:type="dxa"/>
            <w:vAlign w:val="center"/>
          </w:tcPr>
          <w:p>
            <w:pPr>
              <w:snapToGrid w:val="0"/>
              <w:ind w:firstLine="360" w:firstLineChars="200"/>
              <w:rPr>
                <w:rFonts w:ascii="宋体" w:hAnsi="宋体"/>
                <w:bCs/>
                <w:sz w:val="18"/>
                <w:szCs w:val="18"/>
              </w:rPr>
            </w:pPr>
            <w:r>
              <w:rPr>
                <w:rFonts w:hint="eastAsia" w:ascii="宋体" w:hAnsi="宋体"/>
                <w:bCs/>
                <w:sz w:val="18"/>
                <w:szCs w:val="18"/>
              </w:rPr>
              <w:t>7.1 具备市场开发和管理等市场营销领域的具体运用能力</w:t>
            </w:r>
          </w:p>
        </w:tc>
        <w:tc>
          <w:tcPr>
            <w:tcW w:w="1090" w:type="dxa"/>
            <w:vAlign w:val="center"/>
          </w:tcPr>
          <w:p>
            <w:pPr>
              <w:snapToGrid w:val="0"/>
              <w:ind w:firstLine="360" w:firstLineChars="200"/>
              <w:rPr>
                <w:rFonts w:ascii="宋体" w:hAnsi="宋体"/>
                <w:bCs/>
                <w:sz w:val="18"/>
                <w:szCs w:val="18"/>
              </w:rPr>
            </w:pPr>
            <w:r>
              <w:rPr>
                <w:rFonts w:hint="eastAsia" w:ascii="宋体" w:hAnsi="宋体"/>
                <w:bCs/>
                <w:sz w:val="18"/>
                <w:szCs w:val="18"/>
              </w:rPr>
              <w:t>H</w:t>
            </w:r>
          </w:p>
        </w:tc>
      </w:tr>
    </w:tbl>
    <w:p>
      <w:pPr>
        <w:keepNext/>
        <w:keepLines/>
        <w:spacing w:line="360" w:lineRule="auto"/>
        <w:ind w:firstLine="204" w:firstLineChars="100"/>
        <w:jc w:val="left"/>
        <w:outlineLvl w:val="0"/>
        <w:rPr>
          <w:rFonts w:ascii="宋体" w:hAnsi="宋体"/>
          <w:bCs/>
          <w:spacing w:val="-3"/>
          <w:kern w:val="44"/>
          <w:szCs w:val="21"/>
          <w:lang w:val="en-GB"/>
        </w:rPr>
      </w:pPr>
      <w:r>
        <w:rPr>
          <w:rFonts w:hint="eastAsia" w:ascii="宋体" w:hAnsi="宋体"/>
          <w:bCs/>
          <w:spacing w:val="-3"/>
          <w:kern w:val="44"/>
          <w:szCs w:val="21"/>
          <w:lang w:val="en-GB"/>
        </w:rPr>
        <w:t>备注：H-高度支撑、M-中等支撑。</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三、本课程与其他课程的联系</w:t>
      </w:r>
    </w:p>
    <w:p>
      <w:pPr>
        <w:tabs>
          <w:tab w:val="left" w:pos="1545"/>
        </w:tabs>
        <w:spacing w:line="300" w:lineRule="auto"/>
        <w:ind w:firstLine="420" w:firstLineChars="200"/>
        <w:rPr>
          <w:rFonts w:ascii="宋体" w:hAnsi="宋体" w:cs="宋体"/>
          <w:kern w:val="0"/>
          <w:szCs w:val="21"/>
        </w:rPr>
      </w:pPr>
      <w:r>
        <w:rPr>
          <w:rFonts w:hint="eastAsia" w:ascii="宋体" w:hAnsi="宋体" w:cs="宋体"/>
          <w:kern w:val="0"/>
          <w:szCs w:val="21"/>
        </w:rPr>
        <w:t>本课程是市场营销专业必修实践课程。本课程通过课程实践让学生了解法律基本原理；基本民事法律制度；物权法律制度；合同法律制度；合伙企业法律制度；公司法律制度。本课程有助于完善学生的营销专业法律知识结构，扩大学生的知识面，与该专业的其他课程的学习内容相互补充。</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四、实习内容与基本</w:t>
      </w:r>
      <w:r>
        <w:rPr>
          <w:rFonts w:hint="eastAsia" w:ascii="黑体" w:hAnsi="黑体" w:eastAsia="黑体" w:cs="宋体"/>
          <w:bCs/>
          <w:spacing w:val="-3"/>
          <w:kern w:val="44"/>
          <w:sz w:val="24"/>
          <w:szCs w:val="44"/>
          <w:lang w:val="en-GB"/>
        </w:rPr>
        <w:t>要求</w:t>
      </w:r>
      <w:r>
        <w:rPr>
          <w:rFonts w:hint="eastAsia" w:ascii="黑体" w:hAnsi="黑体" w:eastAsia="黑体"/>
          <w:bCs/>
          <w:spacing w:val="-3"/>
          <w:kern w:val="44"/>
          <w:sz w:val="24"/>
          <w:szCs w:val="44"/>
          <w:lang w:val="en-GB"/>
        </w:rPr>
        <w:t xml:space="preserve"> </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表2：实习教学内容及学习要求</w:t>
      </w:r>
    </w:p>
    <w:tbl>
      <w:tblPr>
        <w:tblStyle w:val="7"/>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3"/>
        <w:gridCol w:w="3164"/>
        <w:gridCol w:w="1032"/>
        <w:gridCol w:w="461"/>
        <w:gridCol w:w="423"/>
        <w:gridCol w:w="760"/>
        <w:gridCol w:w="667"/>
        <w:gridCol w:w="796"/>
      </w:tblGrid>
      <w:tr>
        <w:trPr>
          <w:trHeight w:val="284" w:hRule="atLeast"/>
          <w:jc w:val="center"/>
        </w:trPr>
        <w:tc>
          <w:tcPr>
            <w:tcW w:w="4667"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实习内容</w:t>
            </w:r>
          </w:p>
        </w:tc>
        <w:tc>
          <w:tcPr>
            <w:tcW w:w="1032"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644"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66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7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rPr>
          <w:trHeight w:val="394" w:hRule="atLeast"/>
          <w:jc w:val="center"/>
        </w:trPr>
        <w:tc>
          <w:tcPr>
            <w:tcW w:w="4667" w:type="dxa"/>
            <w:gridSpan w:val="2"/>
            <w:vMerge w:val="continue"/>
            <w:vAlign w:val="center"/>
          </w:tcPr>
          <w:p>
            <w:pPr>
              <w:tabs>
                <w:tab w:val="left" w:pos="-720"/>
              </w:tabs>
              <w:suppressAutoHyphens/>
              <w:jc w:val="center"/>
              <w:rPr>
                <w:rFonts w:ascii="宋体" w:hAnsi="宋体"/>
                <w:spacing w:val="-3"/>
                <w:sz w:val="18"/>
                <w:szCs w:val="18"/>
                <w:lang w:val="en-GB"/>
              </w:rPr>
            </w:pPr>
          </w:p>
        </w:tc>
        <w:tc>
          <w:tcPr>
            <w:tcW w:w="1032" w:type="dxa"/>
            <w:vMerge w:val="continue"/>
          </w:tcPr>
          <w:p>
            <w:pPr>
              <w:jc w:val="center"/>
              <w:rPr>
                <w:rFonts w:ascii="宋体" w:hAnsi="宋体" w:cs="Arial"/>
                <w:b/>
                <w:sz w:val="18"/>
                <w:szCs w:val="18"/>
              </w:rPr>
            </w:pPr>
          </w:p>
        </w:tc>
        <w:tc>
          <w:tcPr>
            <w:tcW w:w="461" w:type="dxa"/>
            <w:vAlign w:val="center"/>
          </w:tcPr>
          <w:p>
            <w:pPr>
              <w:jc w:val="center"/>
              <w:rPr>
                <w:rFonts w:ascii="宋体" w:hAnsi="宋体" w:cs="Arial"/>
                <w:b/>
                <w:sz w:val="18"/>
                <w:szCs w:val="18"/>
              </w:rPr>
            </w:pPr>
            <w:r>
              <w:rPr>
                <w:rFonts w:hint="eastAsia" w:ascii="宋体" w:hAnsi="宋体" w:cs="Arial"/>
                <w:b/>
                <w:sz w:val="18"/>
                <w:szCs w:val="18"/>
              </w:rPr>
              <w:t>理解</w:t>
            </w:r>
          </w:p>
        </w:tc>
        <w:tc>
          <w:tcPr>
            <w:tcW w:w="423" w:type="dxa"/>
            <w:vAlign w:val="center"/>
          </w:tcPr>
          <w:p>
            <w:pPr>
              <w:jc w:val="center"/>
              <w:rPr>
                <w:rFonts w:ascii="宋体" w:hAnsi="宋体" w:cs="Arial"/>
                <w:b/>
                <w:sz w:val="18"/>
                <w:szCs w:val="18"/>
              </w:rPr>
            </w:pPr>
            <w:r>
              <w:rPr>
                <w:rFonts w:hint="eastAsia" w:ascii="宋体" w:hAnsi="宋体" w:cs="Arial"/>
                <w:b/>
                <w:sz w:val="18"/>
                <w:szCs w:val="18"/>
              </w:rPr>
              <w:t>掌握</w:t>
            </w:r>
          </w:p>
        </w:tc>
        <w:tc>
          <w:tcPr>
            <w:tcW w:w="760"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667" w:type="dxa"/>
            <w:vMerge w:val="continue"/>
            <w:vAlign w:val="center"/>
          </w:tcPr>
          <w:p>
            <w:pPr>
              <w:jc w:val="center"/>
              <w:rPr>
                <w:rFonts w:ascii="宋体" w:hAnsi="宋体" w:cs="Arial"/>
                <w:b/>
                <w:sz w:val="18"/>
                <w:szCs w:val="18"/>
              </w:rPr>
            </w:pPr>
          </w:p>
        </w:tc>
        <w:tc>
          <w:tcPr>
            <w:tcW w:w="796" w:type="dxa"/>
            <w:vMerge w:val="continue"/>
            <w:vAlign w:val="center"/>
          </w:tcPr>
          <w:p>
            <w:pPr>
              <w:tabs>
                <w:tab w:val="left" w:pos="-720"/>
              </w:tabs>
              <w:suppressAutoHyphens/>
              <w:jc w:val="center"/>
              <w:rPr>
                <w:rFonts w:ascii="宋体" w:hAnsi="宋体"/>
                <w:spacing w:val="-3"/>
                <w:sz w:val="18"/>
                <w:szCs w:val="18"/>
                <w:lang w:val="en-GB"/>
              </w:rPr>
            </w:pP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一：订立合同</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(1）录像观摩合同的订立程序，</w:t>
            </w:r>
          </w:p>
          <w:p>
            <w:pPr>
              <w:snapToGrid w:val="0"/>
              <w:rPr>
                <w:rFonts w:ascii="宋体" w:hAnsi="宋体"/>
                <w:spacing w:val="-3"/>
                <w:sz w:val="18"/>
                <w:szCs w:val="18"/>
                <w:lang w:val="en-GB"/>
              </w:rPr>
            </w:pPr>
            <w:r>
              <w:rPr>
                <w:rFonts w:hint="eastAsia" w:ascii="宋体" w:hAnsi="宋体"/>
                <w:spacing w:val="-3"/>
                <w:sz w:val="18"/>
                <w:szCs w:val="18"/>
                <w:lang w:val="en-GB"/>
              </w:rPr>
              <w:t>(2）模拟训练订立买卖合同和其他类型的合同。</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pacing w:val="-3"/>
                <w:sz w:val="18"/>
                <w:szCs w:val="18"/>
                <w:lang w:val="en-GB"/>
              </w:rPr>
            </w:pPr>
            <w:r>
              <w:rPr>
                <w:rFonts w:ascii="宋体" w:hAnsi="宋体"/>
                <w:spacing w:val="-3"/>
                <w:sz w:val="18"/>
                <w:szCs w:val="18"/>
                <w:lang w:val="en-GB"/>
              </w:rPr>
              <w:t>4</w:t>
            </w:r>
          </w:p>
        </w:tc>
        <w:tc>
          <w:tcPr>
            <w:tcW w:w="796" w:type="dxa"/>
            <w:vAlign w:val="center"/>
          </w:tcPr>
          <w:p>
            <w:pPr>
              <w:spacing w:line="280" w:lineRule="exact"/>
              <w:jc w:val="center"/>
              <w:rPr>
                <w:spacing w:val="-3"/>
                <w:sz w:val="18"/>
                <w:szCs w:val="18"/>
                <w:lang w:val="en-GB"/>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bookmarkStart w:id="0" w:name="_Hlk116402153"/>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二：模拟设立有限责任公司</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（1）3-5人一组，作为股东。设立一个有限责任公司。</w:t>
            </w:r>
          </w:p>
          <w:p>
            <w:pPr>
              <w:snapToGrid w:val="0"/>
              <w:rPr>
                <w:rFonts w:hint="eastAsia" w:ascii="宋体" w:hAnsi="宋体"/>
                <w:spacing w:val="-3"/>
                <w:sz w:val="18"/>
                <w:szCs w:val="18"/>
                <w:lang w:val="en-GB"/>
              </w:rPr>
            </w:pPr>
            <w:r>
              <w:rPr>
                <w:rFonts w:hint="eastAsia" w:ascii="宋体" w:hAnsi="宋体"/>
                <w:spacing w:val="-3"/>
                <w:sz w:val="18"/>
                <w:szCs w:val="18"/>
                <w:lang w:val="en-GB"/>
              </w:rPr>
              <w:t>(2）每组同学可根据自己的实际情况进行出资模拟。</w:t>
            </w:r>
          </w:p>
          <w:p>
            <w:pPr>
              <w:snapToGrid w:val="0"/>
              <w:rPr>
                <w:rFonts w:ascii="宋体" w:hAnsi="宋体"/>
                <w:spacing w:val="-3"/>
                <w:sz w:val="18"/>
                <w:szCs w:val="18"/>
                <w:lang w:val="en-GB"/>
              </w:rPr>
            </w:pPr>
            <w:r>
              <w:rPr>
                <w:rFonts w:hint="eastAsia" w:ascii="宋体" w:hAnsi="宋体"/>
                <w:spacing w:val="-3"/>
                <w:sz w:val="18"/>
                <w:szCs w:val="18"/>
                <w:lang w:val="en-GB"/>
              </w:rPr>
              <w:t>3）建立符合公司法规定的有限责任公司的组织机构。</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bookmarkStart w:id="1" w:name="_Hlk116402174"/>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三：设计一个商品商标或服务商标</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根据实践二所设立的公司选择某一商品，或某项服务根据商标法的规定设计一个商标。</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四：综合案例分析</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（1）经济法基础知识案例</w:t>
            </w:r>
          </w:p>
          <w:p>
            <w:pPr>
              <w:snapToGrid w:val="0"/>
              <w:rPr>
                <w:rFonts w:ascii="宋体" w:hAnsi="宋体"/>
                <w:spacing w:val="-3"/>
                <w:sz w:val="18"/>
                <w:szCs w:val="18"/>
                <w:lang w:val="en-GB"/>
              </w:rPr>
            </w:pPr>
            <w:r>
              <w:rPr>
                <w:rFonts w:hint="eastAsia" w:ascii="宋体" w:hAnsi="宋体"/>
                <w:spacing w:val="-3"/>
                <w:sz w:val="18"/>
                <w:szCs w:val="18"/>
                <w:lang w:val="en-GB"/>
              </w:rPr>
              <w:t>（2）合同法案例分析</w:t>
            </w:r>
          </w:p>
          <w:p>
            <w:pPr>
              <w:snapToGrid w:val="0"/>
              <w:rPr>
                <w:rFonts w:hint="eastAsia" w:ascii="宋体" w:hAnsi="宋体"/>
                <w:spacing w:val="-3"/>
                <w:sz w:val="18"/>
                <w:szCs w:val="18"/>
                <w:lang w:val="en-GB"/>
              </w:rPr>
            </w:pPr>
            <w:r>
              <w:rPr>
                <w:rFonts w:ascii="宋体" w:hAnsi="宋体"/>
                <w:spacing w:val="-3"/>
                <w:sz w:val="18"/>
                <w:szCs w:val="18"/>
                <w:lang w:val="en-GB"/>
              </w:rPr>
              <w:t>(</w:t>
            </w:r>
            <w:r>
              <w:rPr>
                <w:rFonts w:hint="eastAsia" w:ascii="宋体" w:hAnsi="宋体"/>
                <w:spacing w:val="-3"/>
                <w:sz w:val="18"/>
                <w:szCs w:val="18"/>
                <w:lang w:val="en-GB"/>
              </w:rPr>
              <w:t>3）公司法案例分析</w:t>
            </w:r>
          </w:p>
          <w:p>
            <w:pPr>
              <w:snapToGrid w:val="0"/>
              <w:rPr>
                <w:rFonts w:ascii="宋体" w:hAnsi="宋体"/>
                <w:spacing w:val="-3"/>
                <w:sz w:val="18"/>
                <w:szCs w:val="18"/>
                <w:lang w:val="en-GB"/>
              </w:rPr>
            </w:pPr>
            <w:r>
              <w:rPr>
                <w:rFonts w:hint="eastAsia" w:ascii="宋体" w:hAnsi="宋体"/>
                <w:spacing w:val="-3"/>
                <w:sz w:val="18"/>
                <w:szCs w:val="18"/>
                <w:lang w:val="en-GB"/>
              </w:rPr>
              <w:t>(4）知识产权法及其他法律法规案例分析</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五：观看并讨论《经济与法》和《今日说法》的案例，并讨论</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（1）观看合同法案例后分析与</w:t>
            </w:r>
          </w:p>
          <w:p>
            <w:pPr>
              <w:snapToGrid w:val="0"/>
              <w:rPr>
                <w:rFonts w:hint="eastAsia" w:ascii="宋体" w:hAnsi="宋体"/>
                <w:spacing w:val="-3"/>
                <w:sz w:val="18"/>
                <w:szCs w:val="18"/>
                <w:lang w:val="en-GB"/>
              </w:rPr>
            </w:pPr>
            <w:r>
              <w:rPr>
                <w:rFonts w:hint="eastAsia" w:ascii="宋体" w:hAnsi="宋体"/>
                <w:spacing w:val="-3"/>
                <w:sz w:val="18"/>
                <w:szCs w:val="18"/>
                <w:lang w:val="en-GB"/>
              </w:rPr>
              <w:t>讨论</w:t>
            </w:r>
          </w:p>
          <w:p>
            <w:pPr>
              <w:snapToGrid w:val="0"/>
              <w:rPr>
                <w:rFonts w:hint="eastAsia" w:ascii="宋体" w:hAnsi="宋体"/>
                <w:spacing w:val="-3"/>
                <w:sz w:val="18"/>
                <w:szCs w:val="18"/>
                <w:lang w:val="en-GB"/>
              </w:rPr>
            </w:pPr>
            <w:r>
              <w:rPr>
                <w:rFonts w:hint="eastAsia" w:ascii="宋体" w:hAnsi="宋体"/>
                <w:spacing w:val="-3"/>
                <w:sz w:val="18"/>
                <w:szCs w:val="18"/>
                <w:lang w:val="en-GB"/>
              </w:rPr>
              <w:t>（2）观看公司法案例后分析讨论</w:t>
            </w:r>
          </w:p>
          <w:p>
            <w:pPr>
              <w:snapToGrid w:val="0"/>
              <w:rPr>
                <w:rFonts w:hint="eastAsia" w:ascii="宋体" w:hAnsi="宋体"/>
                <w:spacing w:val="-3"/>
                <w:sz w:val="18"/>
                <w:szCs w:val="18"/>
                <w:lang w:val="en-GB"/>
              </w:rPr>
            </w:pPr>
            <w:r>
              <w:rPr>
                <w:rFonts w:hint="eastAsia" w:ascii="宋体" w:hAnsi="宋体"/>
                <w:spacing w:val="-3"/>
                <w:sz w:val="18"/>
                <w:szCs w:val="18"/>
                <w:lang w:val="en-GB"/>
              </w:rPr>
              <w:t>（3）观看反不正当充年法案例后分析讨论</w:t>
            </w:r>
          </w:p>
          <w:p>
            <w:pPr>
              <w:snapToGrid w:val="0"/>
              <w:rPr>
                <w:rFonts w:ascii="宋体" w:hAnsi="宋体"/>
                <w:spacing w:val="-3"/>
                <w:sz w:val="18"/>
                <w:szCs w:val="18"/>
                <w:lang w:val="en-GB"/>
              </w:rPr>
            </w:pPr>
            <w:r>
              <w:rPr>
                <w:rFonts w:hint="eastAsia" w:ascii="宋体" w:hAnsi="宋体"/>
                <w:spacing w:val="-3"/>
                <w:sz w:val="18"/>
                <w:szCs w:val="18"/>
                <w:lang w:val="en-GB"/>
              </w:rPr>
              <w:t>(4）观看知识产权法及其他法律法规案例后分析讨论</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合计</w:t>
            </w:r>
          </w:p>
        </w:tc>
        <w:tc>
          <w:tcPr>
            <w:tcW w:w="3164" w:type="dxa"/>
            <w:vAlign w:val="center"/>
          </w:tcPr>
          <w:p>
            <w:pPr>
              <w:snapToGrid w:val="0"/>
              <w:rPr>
                <w:rFonts w:ascii="宋体" w:hAnsi="宋体"/>
                <w:spacing w:val="-3"/>
                <w:sz w:val="18"/>
                <w:szCs w:val="18"/>
                <w:lang w:val="en-GB"/>
              </w:rPr>
            </w:pPr>
          </w:p>
        </w:tc>
        <w:tc>
          <w:tcPr>
            <w:tcW w:w="1032" w:type="dxa"/>
            <w:vAlign w:val="center"/>
          </w:tcPr>
          <w:p>
            <w:pPr>
              <w:snapToGrid w:val="0"/>
              <w:jc w:val="center"/>
              <w:rPr>
                <w:rFonts w:ascii="宋体" w:hAnsi="宋体"/>
                <w:spacing w:val="-3"/>
                <w:sz w:val="18"/>
                <w:szCs w:val="18"/>
                <w:lang w:val="en-GB"/>
              </w:rPr>
            </w:pPr>
          </w:p>
        </w:tc>
        <w:tc>
          <w:tcPr>
            <w:tcW w:w="461" w:type="dxa"/>
            <w:vAlign w:val="center"/>
          </w:tcPr>
          <w:p>
            <w:pPr>
              <w:snapToGrid w:val="0"/>
              <w:jc w:val="center"/>
              <w:rPr>
                <w:rFonts w:ascii="宋体" w:hAnsi="宋体"/>
                <w:spacing w:val="-3"/>
                <w:sz w:val="18"/>
                <w:szCs w:val="18"/>
                <w:lang w:val="en-GB"/>
              </w:rPr>
            </w:pPr>
          </w:p>
        </w:tc>
        <w:tc>
          <w:tcPr>
            <w:tcW w:w="423" w:type="dxa"/>
            <w:vAlign w:val="center"/>
          </w:tcPr>
          <w:p>
            <w:pPr>
              <w:snapToGrid w:val="0"/>
              <w:jc w:val="center"/>
              <w:rPr>
                <w:rFonts w:ascii="宋体" w:hAnsi="宋体"/>
                <w:spacing w:val="-3"/>
                <w:sz w:val="18"/>
                <w:szCs w:val="18"/>
                <w:lang w:val="en-GB"/>
              </w:rPr>
            </w:pPr>
          </w:p>
        </w:tc>
        <w:tc>
          <w:tcPr>
            <w:tcW w:w="760" w:type="dxa"/>
            <w:vAlign w:val="center"/>
          </w:tcPr>
          <w:p>
            <w:pPr>
              <w:snapToGrid w:val="0"/>
              <w:jc w:val="center"/>
              <w:rPr>
                <w:rFonts w:ascii="宋体" w:hAnsi="宋体"/>
                <w:spacing w:val="-3"/>
                <w:sz w:val="18"/>
                <w:szCs w:val="18"/>
                <w:lang w:val="en-GB"/>
              </w:rPr>
            </w:pP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796" w:type="dxa"/>
            <w:vAlign w:val="center"/>
          </w:tcPr>
          <w:p>
            <w:pPr>
              <w:spacing w:line="280" w:lineRule="exact"/>
              <w:jc w:val="center"/>
              <w:rPr>
                <w:sz w:val="18"/>
                <w:szCs w:val="18"/>
              </w:rPr>
            </w:pPr>
          </w:p>
        </w:tc>
      </w:tr>
    </w:tbl>
    <w:p>
      <w:pPr>
        <w:snapToGrid w:val="0"/>
        <w:spacing w:line="300" w:lineRule="auto"/>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五、课程思政元素及融入点</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表3：《经济法概论实习》课程思政元素及融入点</w:t>
      </w:r>
    </w:p>
    <w:tbl>
      <w:tblPr>
        <w:tblStyle w:val="7"/>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9"/>
        <w:gridCol w:w="1650"/>
        <w:gridCol w:w="948"/>
        <w:gridCol w:w="3774"/>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39"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序号</w:t>
            </w:r>
          </w:p>
        </w:tc>
        <w:tc>
          <w:tcPr>
            <w:tcW w:w="1650"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实习项目</w:t>
            </w:r>
          </w:p>
        </w:tc>
        <w:tc>
          <w:tcPr>
            <w:tcW w:w="94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774"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思政元素简述</w:t>
            </w:r>
          </w:p>
        </w:tc>
        <w:tc>
          <w:tcPr>
            <w:tcW w:w="1846"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1</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一：订立合同</w:t>
            </w:r>
          </w:p>
        </w:tc>
        <w:tc>
          <w:tcPr>
            <w:tcW w:w="948" w:type="dxa"/>
          </w:tcPr>
          <w:p>
            <w:pPr>
              <w:jc w:val="center"/>
              <w:rPr>
                <w:rFonts w:ascii="宋体" w:hAnsi="宋体" w:cs="宋体"/>
                <w:bCs/>
                <w:spacing w:val="-3"/>
                <w:sz w:val="18"/>
                <w:szCs w:val="18"/>
              </w:rPr>
            </w:pPr>
            <w:r>
              <w:rPr>
                <w:rFonts w:hint="eastAsia" w:ascii="宋体" w:hAnsi="宋体" w:cs="宋体"/>
                <w:bCs/>
                <w:spacing w:val="-3"/>
                <w:sz w:val="18"/>
                <w:szCs w:val="18"/>
              </w:rPr>
              <w:t>承担违约责任</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提高运用中国特色社会主义市场经济法律知识、方法和技能来分析和解决实际问题的能力。</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2</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二：模拟设立有限责任公司</w:t>
            </w:r>
          </w:p>
        </w:tc>
        <w:tc>
          <w:tcPr>
            <w:tcW w:w="948"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合伙企业法的概念和基本原则</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培养中国特色社会主义民商法和经济法律意识，增强经济法治观念，养成遵纪守法、依法办事的习惯。</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3</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三：设计一个商品商标或服务商标</w:t>
            </w:r>
          </w:p>
        </w:tc>
        <w:tc>
          <w:tcPr>
            <w:tcW w:w="948" w:type="dxa"/>
          </w:tcPr>
          <w:p>
            <w:pPr>
              <w:jc w:val="center"/>
              <w:rPr>
                <w:rFonts w:ascii="宋体" w:hAnsi="宋体" w:cs="宋体"/>
                <w:bCs/>
                <w:spacing w:val="-3"/>
                <w:sz w:val="18"/>
                <w:szCs w:val="18"/>
              </w:rPr>
            </w:pPr>
            <w:r>
              <w:rPr>
                <w:rFonts w:hint="eastAsia" w:ascii="宋体" w:hAnsi="宋体" w:cs="宋体"/>
                <w:bCs/>
                <w:spacing w:val="-3"/>
                <w:sz w:val="18"/>
                <w:szCs w:val="18"/>
              </w:rPr>
              <w:t>物权的概念与种类</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除私人享有合法的物权之外，社会主义国家强调物的国家所有权、集体所有权：如自然资源国家所有权、集体所有权。</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4</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四：综合案例分析</w:t>
            </w:r>
          </w:p>
        </w:tc>
        <w:tc>
          <w:tcPr>
            <w:tcW w:w="948" w:type="dxa"/>
          </w:tcPr>
          <w:p>
            <w:pPr>
              <w:jc w:val="center"/>
              <w:rPr>
                <w:rFonts w:ascii="宋体" w:hAnsi="宋体" w:cs="宋体"/>
                <w:bCs/>
                <w:spacing w:val="-3"/>
                <w:sz w:val="18"/>
                <w:szCs w:val="18"/>
              </w:rPr>
            </w:pPr>
            <w:r>
              <w:rPr>
                <w:rFonts w:hint="eastAsia" w:ascii="宋体" w:hAnsi="宋体" w:cs="宋体"/>
                <w:bCs/>
                <w:spacing w:val="-3"/>
                <w:sz w:val="18"/>
                <w:szCs w:val="18"/>
              </w:rPr>
              <w:t>全面依法治国基本方略</w:t>
            </w:r>
          </w:p>
        </w:tc>
        <w:tc>
          <w:tcPr>
            <w:tcW w:w="3774" w:type="dxa"/>
          </w:tcPr>
          <w:p>
            <w:pPr>
              <w:snapToGrid w:val="0"/>
              <w:rPr>
                <w:rFonts w:ascii="宋体" w:hAnsi="宋体" w:cs="宋体"/>
                <w:bCs/>
                <w:spacing w:val="-3"/>
                <w:sz w:val="18"/>
                <w:szCs w:val="18"/>
              </w:rPr>
            </w:pPr>
            <w:r>
              <w:rPr>
                <w:rFonts w:hint="eastAsia" w:ascii="宋体" w:hAnsi="宋体" w:cs="宋体"/>
                <w:bCs/>
                <w:spacing w:val="-3"/>
                <w:sz w:val="18"/>
                <w:szCs w:val="18"/>
              </w:rPr>
              <w:t>1</w:t>
            </w:r>
            <w:r>
              <w:rPr>
                <w:rFonts w:ascii="宋体" w:hAnsi="宋体" w:cs="宋体"/>
                <w:bCs/>
                <w:spacing w:val="-3"/>
                <w:sz w:val="18"/>
                <w:szCs w:val="18"/>
              </w:rPr>
              <w:t>.</w:t>
            </w:r>
            <w:r>
              <w:rPr>
                <w:rFonts w:hint="eastAsia" w:ascii="宋体" w:hAnsi="宋体" w:cs="宋体"/>
                <w:bCs/>
                <w:spacing w:val="-3"/>
                <w:sz w:val="18"/>
                <w:szCs w:val="18"/>
              </w:rPr>
              <w:t>全面依法治国新理念新思想新战略</w:t>
            </w:r>
          </w:p>
          <w:p>
            <w:pPr>
              <w:snapToGrid w:val="0"/>
              <w:rPr>
                <w:rFonts w:hint="eastAsia" w:ascii="宋体" w:hAnsi="宋体" w:cs="宋体"/>
                <w:bCs/>
                <w:spacing w:val="-3"/>
                <w:sz w:val="18"/>
                <w:szCs w:val="18"/>
              </w:rPr>
            </w:pPr>
            <w:r>
              <w:rPr>
                <w:rFonts w:hint="eastAsia" w:ascii="宋体" w:hAnsi="宋体" w:cs="宋体"/>
                <w:bCs/>
                <w:spacing w:val="-3"/>
                <w:sz w:val="18"/>
                <w:szCs w:val="18"/>
              </w:rPr>
              <w:t>2.全面推进依法治国的基本原则</w:t>
            </w:r>
          </w:p>
          <w:p>
            <w:pPr>
              <w:snapToGrid w:val="0"/>
              <w:rPr>
                <w:rFonts w:hint="eastAsia" w:ascii="宋体" w:hAnsi="宋体" w:cs="宋体"/>
                <w:bCs/>
                <w:spacing w:val="-3"/>
                <w:sz w:val="18"/>
                <w:szCs w:val="18"/>
              </w:rPr>
            </w:pPr>
            <w:r>
              <w:rPr>
                <w:rFonts w:hint="eastAsia" w:ascii="宋体" w:hAnsi="宋体" w:cs="宋体"/>
                <w:bCs/>
                <w:spacing w:val="-3"/>
                <w:sz w:val="18"/>
                <w:szCs w:val="18"/>
              </w:rPr>
              <w:t>3.建设中国特色社会主义法治体系</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5</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五：观看并讨论《经济与法》和《今日说法》的案例，并讨论</w:t>
            </w:r>
          </w:p>
        </w:tc>
        <w:tc>
          <w:tcPr>
            <w:tcW w:w="948" w:type="dxa"/>
          </w:tcPr>
          <w:p>
            <w:pPr>
              <w:snapToGrid w:val="0"/>
              <w:rPr>
                <w:rFonts w:ascii="宋体" w:hAnsi="宋体" w:cs="宋体"/>
                <w:bCs/>
                <w:spacing w:val="-3"/>
                <w:sz w:val="18"/>
                <w:szCs w:val="18"/>
              </w:rPr>
            </w:pPr>
            <w:r>
              <w:rPr>
                <w:rFonts w:hint="eastAsia" w:ascii="宋体" w:hAnsi="宋体" w:cs="宋体"/>
                <w:bCs/>
                <w:spacing w:val="-3"/>
                <w:sz w:val="18"/>
                <w:szCs w:val="18"/>
              </w:rPr>
              <w:t>民事法律行为理论</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熟悉和理解中国特色社会主义市场经济相关的民商法法律、法规，掌握中国特色社会主义法律体系中的民商法基本制度。</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bl>
    <w:p>
      <w:pPr>
        <w:pStyle w:val="10"/>
      </w:pPr>
    </w:p>
    <w:p>
      <w:pPr>
        <w:pStyle w:val="10"/>
      </w:pPr>
      <w:r>
        <w:rPr>
          <w:rFonts w:hint="eastAsia"/>
        </w:rPr>
        <w:t>六、课程融入新农科/新工科/新文科的相关章节及教学内容提要</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hint="eastAsia" w:ascii="Times New Roman" w:hAnsi="Times New Roman" w:eastAsia="宋体"/>
          <w:bCs w:val="0"/>
          <w:spacing w:val="0"/>
          <w:kern w:val="2"/>
          <w:lang w:val="en-US"/>
        </w:rPr>
        <w:t>1、在实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一内容部分，教师通过实例讲解新农科、新工科、新文科中各行业的合同签订案例分析。</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ascii="Times New Roman" w:hAnsi="Times New Roman" w:eastAsia="宋体"/>
          <w:bCs w:val="0"/>
          <w:spacing w:val="0"/>
          <w:kern w:val="2"/>
          <w:lang w:val="en-US"/>
        </w:rPr>
        <w:t>2</w:t>
      </w:r>
      <w:r>
        <w:rPr>
          <w:rStyle w:val="6"/>
          <w:rFonts w:hint="eastAsia" w:ascii="Times New Roman" w:hAnsi="Times New Roman" w:eastAsia="宋体"/>
          <w:bCs w:val="0"/>
          <w:spacing w:val="0"/>
          <w:kern w:val="2"/>
          <w:lang w:val="en-US"/>
        </w:rPr>
        <w:t>、实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二</w:t>
      </w:r>
      <w:r>
        <w:rPr>
          <w:rStyle w:val="6"/>
          <w:rFonts w:hint="eastAsia" w:ascii="Times New Roman" w:hAnsi="Times New Roman" w:eastAsia="宋体"/>
          <w:bCs w:val="0"/>
          <w:spacing w:val="0"/>
          <w:kern w:val="2"/>
          <w:lang w:val="en-US" w:eastAsia="zh-Hans"/>
        </w:rPr>
        <w:t>的</w:t>
      </w:r>
      <w:r>
        <w:rPr>
          <w:rStyle w:val="6"/>
          <w:rFonts w:hint="eastAsia" w:ascii="Times New Roman" w:hAnsi="Times New Roman" w:eastAsia="宋体"/>
          <w:bCs w:val="0"/>
          <w:spacing w:val="0"/>
          <w:kern w:val="2"/>
          <w:lang w:val="en-US"/>
        </w:rPr>
        <w:t>讲解是在大数据背景下关注成立新公司的部门变化。</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ascii="Times New Roman" w:hAnsi="Times New Roman" w:eastAsia="宋体"/>
          <w:bCs w:val="0"/>
          <w:spacing w:val="0"/>
          <w:kern w:val="2"/>
          <w:lang w:val="en-US"/>
        </w:rPr>
        <w:t>3</w:t>
      </w:r>
      <w:r>
        <w:rPr>
          <w:rStyle w:val="6"/>
          <w:rFonts w:hint="eastAsia" w:ascii="Times New Roman" w:hAnsi="Times New Roman" w:eastAsia="宋体"/>
          <w:bCs w:val="0"/>
          <w:spacing w:val="0"/>
          <w:kern w:val="2"/>
          <w:lang w:val="en-US"/>
        </w:rPr>
        <w:t>、实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五，在案例学习讨论中关注电商、物流、人工智能等一些领域的相关法律的颁布的。</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七、实习地点及组织管理</w:t>
      </w:r>
    </w:p>
    <w:p>
      <w:pPr>
        <w:spacing w:line="300" w:lineRule="auto"/>
        <w:ind w:firstLine="420" w:firstLineChars="200"/>
        <w:rPr>
          <w:rFonts w:ascii="宋体" w:hAnsi="宋体" w:cs="宋体"/>
          <w:szCs w:val="21"/>
        </w:rPr>
      </w:pPr>
      <w:r>
        <w:rPr>
          <w:rFonts w:hint="eastAsia"/>
        </w:rPr>
        <w:t>实</w:t>
      </w:r>
      <w:r>
        <w:rPr>
          <w:rFonts w:hint="eastAsia"/>
          <w:lang w:val="en-US" w:eastAsia="zh-Hans"/>
        </w:rPr>
        <w:t>习</w:t>
      </w:r>
      <w:r>
        <w:t>地点：</w:t>
      </w:r>
      <w:r>
        <w:rPr>
          <w:rFonts w:hint="eastAsia"/>
        </w:rPr>
        <w:t>实训机房。</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rPr>
        <w:t>微观经济学</w:t>
      </w:r>
      <w:r>
        <w:rPr>
          <w:rFonts w:hint="eastAsia" w:ascii="宋体" w:hAnsi="宋体" w:cs="宋体"/>
          <w:szCs w:val="21"/>
          <w:lang w:eastAsia="zh-Hans"/>
        </w:rPr>
        <w:t>课教学文件、政府部门、新闻媒体或网络上公布的统计数据等，实践教材（讲义）或指导书课前提前通过</w:t>
      </w:r>
      <w:r>
        <w:rPr>
          <w:rFonts w:hint="eastAsia" w:ascii="宋体" w:hAnsi="宋体" w:cs="宋体"/>
          <w:szCs w:val="21"/>
        </w:rPr>
        <w:t>线上</w:t>
      </w:r>
      <w:r>
        <w:rPr>
          <w:rFonts w:hint="eastAsia" w:ascii="宋体" w:hAnsi="宋体" w:cs="宋体"/>
          <w:szCs w:val="21"/>
          <w:lang w:eastAsia="zh-Hans"/>
        </w:rPr>
        <w:t>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w:t>
      </w:r>
      <w:r>
        <w:rPr>
          <w:rFonts w:hint="eastAsia" w:ascii="宋体" w:hAnsi="宋体" w:cs="宋体"/>
          <w:szCs w:val="21"/>
          <w:lang w:val="en-US" w:eastAsia="zh-Hans"/>
        </w:rPr>
        <w:t>习</w:t>
      </w:r>
      <w:r>
        <w:rPr>
          <w:rFonts w:hint="eastAsia" w:ascii="宋体" w:hAnsi="宋体" w:cs="宋体"/>
          <w:szCs w:val="21"/>
          <w:lang w:eastAsia="zh-Hans"/>
        </w:rPr>
        <w:t>项目由任课教师或实践课指导老师操作演示后，向学生下发实践任务。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rPr>
      </w:pPr>
      <w:r>
        <w:rPr>
          <w:rFonts w:hint="eastAsia" w:ascii="宋体" w:hAnsi="宋体" w:cs="宋体"/>
          <w:szCs w:val="21"/>
        </w:rPr>
        <w:t>（6）布置学生撰写课程实践报告。</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7</w:t>
      </w:r>
      <w:r>
        <w:rPr>
          <w:rFonts w:hint="eastAsia" w:ascii="宋体" w:hAnsi="宋体" w:cs="宋体"/>
          <w:szCs w:val="21"/>
          <w:lang w:eastAsia="zh-Hans"/>
        </w:rPr>
        <w:t>）下课前5分钟对本节课的实践情况进行总结，对学生纪律和安全情况进行通报，安排下一节实践课内容。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8</w:t>
      </w:r>
      <w:r>
        <w:rPr>
          <w:rFonts w:hint="eastAsia" w:ascii="宋体" w:hAnsi="宋体" w:cs="宋体"/>
          <w:szCs w:val="21"/>
          <w:lang w:eastAsia="zh-Hans"/>
        </w:rPr>
        <w:t>）下课后，要求学生关闭计算机，设备、桌椅按照规定摆放到位。</w:t>
      </w:r>
    </w:p>
    <w:p>
      <w:pPr>
        <w:spacing w:line="300" w:lineRule="auto"/>
        <w:ind w:firstLine="420" w:firstLineChars="200"/>
        <w:rPr>
          <w:rFonts w:ascii="宋体" w:hAnsi="宋体" w:cs="宋体"/>
          <w:szCs w:val="21"/>
          <w:lang w:val="en-GB"/>
        </w:rPr>
      </w:pPr>
      <w:r>
        <w:rPr>
          <w:rFonts w:hint="eastAsia" w:ascii="宋体" w:hAnsi="宋体" w:cs="宋体"/>
          <w:szCs w:val="21"/>
          <w:lang w:eastAsia="zh-Hans"/>
        </w:rPr>
        <w:t>（</w:t>
      </w:r>
      <w:r>
        <w:rPr>
          <w:rFonts w:hint="eastAsia" w:ascii="宋体" w:hAnsi="宋体" w:cs="宋体"/>
          <w:szCs w:val="21"/>
        </w:rPr>
        <w:t>9</w:t>
      </w:r>
      <w:r>
        <w:rPr>
          <w:rFonts w:hint="eastAsia" w:ascii="宋体" w:hAnsi="宋体" w:cs="宋体"/>
          <w:szCs w:val="21"/>
          <w:lang w:eastAsia="zh-Hans"/>
        </w:rPr>
        <w:t>）在没有任课教师、实践指导老师的情况下，严禁学生私自操作实践设施设备。</w:t>
      </w:r>
    </w:p>
    <w:p>
      <w:pPr>
        <w:tabs>
          <w:tab w:val="left" w:pos="1545"/>
        </w:tabs>
        <w:rPr>
          <w:lang w:val="en-GB"/>
        </w:rPr>
      </w:pP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 xml:space="preserve">八、实习内容方式及教学方法 </w:t>
      </w:r>
    </w:p>
    <w:p>
      <w:pPr>
        <w:spacing w:line="300" w:lineRule="auto"/>
        <w:jc w:val="cente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4</w:t>
      </w:r>
      <w:r>
        <w:rPr>
          <w:rFonts w:hint="default" w:ascii="黑体" w:hAnsi="黑体" w:eastAsia="黑体"/>
          <w:bCs/>
          <w:spacing w:val="-3"/>
          <w:kern w:val="28"/>
          <w:szCs w:val="21"/>
        </w:rPr>
        <w:t>：</w:t>
      </w:r>
      <w:r>
        <w:rPr>
          <w:rFonts w:hint="eastAsia" w:ascii="黑体" w:hAnsi="黑体" w:eastAsia="黑体"/>
          <w:bCs/>
          <w:spacing w:val="-3"/>
          <w:kern w:val="28"/>
          <w:szCs w:val="21"/>
        </w:rPr>
        <w:t xml:space="preserve"> 《经济</w:t>
      </w:r>
      <w:r>
        <w:rPr>
          <w:rFonts w:hint="eastAsia" w:ascii="黑体" w:hAnsi="黑体" w:eastAsia="黑体"/>
          <w:bCs/>
          <w:spacing w:val="-3"/>
          <w:kern w:val="28"/>
          <w:szCs w:val="21"/>
          <w:lang w:val="en-US" w:eastAsia="zh-Hans"/>
        </w:rPr>
        <w:t>法概论</w:t>
      </w:r>
      <w:r>
        <w:rPr>
          <w:rFonts w:hint="eastAsia" w:ascii="黑体" w:hAnsi="黑体" w:eastAsia="黑体"/>
          <w:bCs/>
          <w:spacing w:val="-3"/>
          <w:kern w:val="28"/>
          <w:szCs w:val="21"/>
        </w:rPr>
        <w:t>实习》内容方式及教学方法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48" w:type="dxa"/>
            <w:gridSpan w:val="2"/>
          </w:tcPr>
          <w:p>
            <w:pPr>
              <w:tabs>
                <w:tab w:val="left" w:pos="1545"/>
              </w:tabs>
              <w:jc w:val="center"/>
              <w:rPr>
                <w:rFonts w:ascii="宋体" w:hAnsi="宋体"/>
                <w:sz w:val="18"/>
                <w:szCs w:val="18"/>
              </w:rPr>
            </w:pPr>
            <w:r>
              <w:rPr>
                <w:rFonts w:hint="eastAsia" w:ascii="宋体" w:hAnsi="宋体"/>
                <w:sz w:val="18"/>
                <w:szCs w:val="18"/>
              </w:rPr>
              <w:t>实习内容</w:t>
            </w:r>
          </w:p>
        </w:tc>
        <w:tc>
          <w:tcPr>
            <w:tcW w:w="2074" w:type="dxa"/>
          </w:tcPr>
          <w:p>
            <w:pPr>
              <w:tabs>
                <w:tab w:val="left" w:pos="1545"/>
              </w:tabs>
              <w:jc w:val="center"/>
              <w:rPr>
                <w:rFonts w:ascii="宋体" w:hAnsi="宋体"/>
                <w:sz w:val="18"/>
                <w:szCs w:val="18"/>
              </w:rPr>
            </w:pPr>
            <w:r>
              <w:rPr>
                <w:rFonts w:hint="eastAsia" w:ascii="宋体" w:hAnsi="宋体"/>
                <w:sz w:val="18"/>
                <w:szCs w:val="18"/>
              </w:rPr>
              <w:t>实践环节</w:t>
            </w:r>
          </w:p>
        </w:tc>
        <w:tc>
          <w:tcPr>
            <w:tcW w:w="2074" w:type="dxa"/>
          </w:tcPr>
          <w:p>
            <w:pPr>
              <w:tabs>
                <w:tab w:val="left" w:pos="1545"/>
              </w:tabs>
              <w:jc w:val="center"/>
              <w:rPr>
                <w:rFonts w:ascii="宋体" w:hAnsi="宋体"/>
                <w:sz w:val="18"/>
                <w:szCs w:val="18"/>
              </w:rPr>
            </w:pPr>
            <w:r>
              <w:rPr>
                <w:rFonts w:hint="eastAsia" w:ascii="宋体" w:hAnsi="宋体"/>
                <w:sz w:val="18"/>
                <w:szCs w:val="18"/>
              </w:rPr>
              <w:t>教学方法</w:t>
            </w:r>
          </w:p>
        </w:tc>
      </w:tr>
      <w:tr>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一：订立合同</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(1）录像观摩合同的订立程序，</w:t>
            </w:r>
          </w:p>
          <w:p>
            <w:pPr>
              <w:tabs>
                <w:tab w:val="left" w:pos="1545"/>
              </w:tabs>
              <w:rPr>
                <w:rFonts w:ascii="宋体" w:hAnsi="宋体"/>
                <w:sz w:val="18"/>
                <w:szCs w:val="18"/>
              </w:rPr>
            </w:pPr>
            <w:r>
              <w:rPr>
                <w:rFonts w:hint="eastAsia" w:ascii="宋体" w:hAnsi="宋体"/>
                <w:spacing w:val="-3"/>
                <w:sz w:val="18"/>
                <w:szCs w:val="18"/>
                <w:lang w:val="en-GB"/>
              </w:rPr>
              <w:t>(2）模拟训练订立买卖合同和其他类型的合同。</w:t>
            </w:r>
          </w:p>
        </w:tc>
        <w:tc>
          <w:tcPr>
            <w:tcW w:w="2074" w:type="dxa"/>
          </w:tcPr>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课堂实践</w:t>
            </w:r>
          </w:p>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实践分析</w:t>
            </w:r>
          </w:p>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80" w:hRule="atLeast"/>
        </w:trPr>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二：模拟设立有限责任公司</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（1）3-5人一组，作为股东。设立一个有限责任公司。</w:t>
            </w:r>
          </w:p>
          <w:p>
            <w:pPr>
              <w:snapToGrid w:val="0"/>
              <w:rPr>
                <w:rFonts w:hint="eastAsia" w:ascii="宋体" w:hAnsi="宋体"/>
                <w:spacing w:val="-3"/>
                <w:sz w:val="18"/>
                <w:szCs w:val="18"/>
                <w:lang w:val="en-GB"/>
              </w:rPr>
            </w:pPr>
            <w:r>
              <w:rPr>
                <w:rFonts w:hint="eastAsia" w:ascii="宋体" w:hAnsi="宋体"/>
                <w:spacing w:val="-3"/>
                <w:sz w:val="18"/>
                <w:szCs w:val="18"/>
                <w:lang w:val="en-GB"/>
              </w:rPr>
              <w:t>(2）每组同学可根据自己的实际情况进行出资模拟。</w:t>
            </w:r>
          </w:p>
          <w:p>
            <w:pPr>
              <w:tabs>
                <w:tab w:val="left" w:pos="1545"/>
              </w:tabs>
              <w:rPr>
                <w:rFonts w:ascii="宋体" w:hAnsi="宋体"/>
                <w:sz w:val="18"/>
                <w:szCs w:val="18"/>
              </w:rPr>
            </w:pPr>
            <w:r>
              <w:rPr>
                <w:rFonts w:hint="eastAsia" w:ascii="宋体" w:hAnsi="宋体"/>
                <w:spacing w:val="-3"/>
                <w:sz w:val="18"/>
                <w:szCs w:val="18"/>
                <w:lang w:val="en-GB"/>
              </w:rPr>
              <w:t>3）建立符合公司法规定的有限责任公司的组织机构。</w:t>
            </w:r>
          </w:p>
        </w:tc>
        <w:tc>
          <w:tcPr>
            <w:tcW w:w="2074" w:type="dxa"/>
          </w:tcPr>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课堂实践</w:t>
            </w:r>
          </w:p>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实践分析</w:t>
            </w:r>
          </w:p>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三：设计一个商品商标或服务商标</w:t>
            </w:r>
          </w:p>
        </w:tc>
        <w:tc>
          <w:tcPr>
            <w:tcW w:w="2074" w:type="dxa"/>
            <w:vAlign w:val="center"/>
          </w:tcPr>
          <w:p>
            <w:pPr>
              <w:tabs>
                <w:tab w:val="left" w:pos="1545"/>
              </w:tabs>
              <w:rPr>
                <w:rFonts w:ascii="宋体" w:hAnsi="宋体"/>
                <w:sz w:val="18"/>
                <w:szCs w:val="18"/>
              </w:rPr>
            </w:pPr>
            <w:r>
              <w:rPr>
                <w:rFonts w:hint="eastAsia" w:ascii="宋体" w:hAnsi="宋体"/>
                <w:spacing w:val="-3"/>
                <w:sz w:val="18"/>
                <w:szCs w:val="18"/>
                <w:lang w:val="en-GB"/>
              </w:rPr>
              <w:t>根据实践二所设立的公司选择某一商品，或某项服务根据商标法的规定设计一个商标。</w:t>
            </w:r>
          </w:p>
        </w:tc>
        <w:tc>
          <w:tcPr>
            <w:tcW w:w="2074" w:type="dxa"/>
          </w:tcPr>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课堂实践</w:t>
            </w:r>
          </w:p>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实践分析</w:t>
            </w:r>
          </w:p>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四：综合案例分析</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（1）经济法基础知识案例</w:t>
            </w:r>
          </w:p>
          <w:p>
            <w:pPr>
              <w:snapToGrid w:val="0"/>
              <w:rPr>
                <w:rFonts w:ascii="宋体" w:hAnsi="宋体"/>
                <w:spacing w:val="-3"/>
                <w:sz w:val="18"/>
                <w:szCs w:val="18"/>
                <w:lang w:val="en-GB"/>
              </w:rPr>
            </w:pPr>
            <w:r>
              <w:rPr>
                <w:rFonts w:hint="eastAsia" w:ascii="宋体" w:hAnsi="宋体"/>
                <w:spacing w:val="-3"/>
                <w:sz w:val="18"/>
                <w:szCs w:val="18"/>
                <w:lang w:val="en-GB"/>
              </w:rPr>
              <w:t>（2）合同法案例分析</w:t>
            </w:r>
          </w:p>
          <w:p>
            <w:pPr>
              <w:snapToGrid w:val="0"/>
              <w:rPr>
                <w:rFonts w:hint="eastAsia" w:ascii="宋体" w:hAnsi="宋体"/>
                <w:spacing w:val="-3"/>
                <w:sz w:val="18"/>
                <w:szCs w:val="18"/>
                <w:lang w:val="en-GB"/>
              </w:rPr>
            </w:pPr>
            <w:r>
              <w:rPr>
                <w:rFonts w:ascii="宋体" w:hAnsi="宋体"/>
                <w:spacing w:val="-3"/>
                <w:sz w:val="18"/>
                <w:szCs w:val="18"/>
                <w:lang w:val="en-GB"/>
              </w:rPr>
              <w:t>(</w:t>
            </w:r>
            <w:r>
              <w:rPr>
                <w:rFonts w:hint="eastAsia" w:ascii="宋体" w:hAnsi="宋体"/>
                <w:spacing w:val="-3"/>
                <w:sz w:val="18"/>
                <w:szCs w:val="18"/>
                <w:lang w:val="en-GB"/>
              </w:rPr>
              <w:t>3）公司法案例分析</w:t>
            </w:r>
          </w:p>
          <w:p>
            <w:pPr>
              <w:tabs>
                <w:tab w:val="left" w:pos="1545"/>
              </w:tabs>
              <w:rPr>
                <w:rFonts w:ascii="宋体" w:hAnsi="宋体"/>
                <w:sz w:val="18"/>
                <w:szCs w:val="18"/>
              </w:rPr>
            </w:pPr>
            <w:r>
              <w:rPr>
                <w:rFonts w:hint="eastAsia" w:ascii="宋体" w:hAnsi="宋体"/>
                <w:spacing w:val="-3"/>
                <w:sz w:val="18"/>
                <w:szCs w:val="18"/>
                <w:lang w:val="en-GB"/>
              </w:rPr>
              <w:t>(4）知识产权法及其他法律法规案例分析</w:t>
            </w:r>
          </w:p>
        </w:tc>
        <w:tc>
          <w:tcPr>
            <w:tcW w:w="2074" w:type="dxa"/>
          </w:tcPr>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课堂实践</w:t>
            </w:r>
          </w:p>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实践分析</w:t>
            </w:r>
          </w:p>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五：观看并讨论《经济与法》和《今日说法》的案例，并讨论</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（1）观看合同法案例后分析与讨论</w:t>
            </w:r>
          </w:p>
          <w:p>
            <w:pPr>
              <w:snapToGrid w:val="0"/>
              <w:rPr>
                <w:rFonts w:hint="eastAsia" w:ascii="宋体" w:hAnsi="宋体"/>
                <w:spacing w:val="-3"/>
                <w:sz w:val="18"/>
                <w:szCs w:val="18"/>
                <w:lang w:val="en-GB"/>
              </w:rPr>
            </w:pPr>
            <w:r>
              <w:rPr>
                <w:rFonts w:hint="eastAsia" w:ascii="宋体" w:hAnsi="宋体"/>
                <w:spacing w:val="-3"/>
                <w:sz w:val="18"/>
                <w:szCs w:val="18"/>
                <w:lang w:val="en-GB"/>
              </w:rPr>
              <w:t>（2）观看公司法案例后分析讨论</w:t>
            </w:r>
          </w:p>
          <w:p>
            <w:pPr>
              <w:snapToGrid w:val="0"/>
              <w:rPr>
                <w:rFonts w:hint="eastAsia" w:ascii="宋体" w:hAnsi="宋体"/>
                <w:spacing w:val="-3"/>
                <w:sz w:val="18"/>
                <w:szCs w:val="18"/>
                <w:lang w:val="en-GB"/>
              </w:rPr>
            </w:pPr>
            <w:r>
              <w:rPr>
                <w:rFonts w:hint="eastAsia" w:ascii="宋体" w:hAnsi="宋体"/>
                <w:spacing w:val="-3"/>
                <w:sz w:val="18"/>
                <w:szCs w:val="18"/>
                <w:lang w:val="en-GB"/>
              </w:rPr>
              <w:t>（3）观看反不正当充年法案例后分析讨论</w:t>
            </w:r>
          </w:p>
          <w:p>
            <w:pPr>
              <w:tabs>
                <w:tab w:val="left" w:pos="1545"/>
              </w:tabs>
              <w:rPr>
                <w:rFonts w:ascii="宋体" w:hAnsi="宋体"/>
                <w:sz w:val="18"/>
                <w:szCs w:val="18"/>
              </w:rPr>
            </w:pPr>
            <w:r>
              <w:rPr>
                <w:rFonts w:hint="eastAsia" w:ascii="宋体" w:hAnsi="宋体"/>
                <w:spacing w:val="-3"/>
                <w:sz w:val="18"/>
                <w:szCs w:val="18"/>
                <w:lang w:val="en-GB"/>
              </w:rPr>
              <w:t>(4）观看知识产权法及其他法律法规案例后分析讨论</w:t>
            </w:r>
          </w:p>
        </w:tc>
        <w:tc>
          <w:tcPr>
            <w:tcW w:w="2074" w:type="dxa"/>
          </w:tcPr>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课堂实践</w:t>
            </w:r>
          </w:p>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实践分析</w:t>
            </w:r>
          </w:p>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bl>
    <w:p>
      <w:pPr>
        <w:tabs>
          <w:tab w:val="left" w:pos="1545"/>
        </w:tabs>
        <w:rPr>
          <w:rFonts w:ascii="宋体" w:hAnsi="宋体"/>
          <w:sz w:val="18"/>
          <w:szCs w:val="18"/>
          <w:lang w:val="en-GB"/>
        </w:rPr>
      </w:pP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九</w:t>
      </w:r>
      <w:r>
        <w:rPr>
          <w:rFonts w:hint="eastAsia" w:ascii="黑体" w:hAnsi="黑体" w:eastAsia="黑体"/>
          <w:bCs/>
          <w:spacing w:val="-3"/>
          <w:kern w:val="44"/>
          <w:sz w:val="24"/>
          <w:szCs w:val="44"/>
          <w:lang w:val="en-GB"/>
        </w:rPr>
        <w:t xml:space="preserve">、考核及成绩评定方式 </w:t>
      </w:r>
    </w:p>
    <w:p>
      <w:pPr>
        <w:spacing w:line="300" w:lineRule="auto"/>
        <w:ind w:firstLine="420" w:firstLineChars="200"/>
        <w:rPr>
          <w:b/>
          <w:szCs w:val="20"/>
        </w:rPr>
      </w:pPr>
      <w:r>
        <w:rPr>
          <w:b/>
          <w:szCs w:val="20"/>
        </w:rPr>
        <w:t>1、考核方式</w:t>
      </w:r>
    </w:p>
    <w:p>
      <w:pPr>
        <w:spacing w:line="300" w:lineRule="auto"/>
        <w:ind w:firstLine="420" w:firstLineChars="200"/>
        <w:rPr>
          <w:szCs w:val="21"/>
        </w:rPr>
      </w:pPr>
      <w:r>
        <w:rPr>
          <w:rFonts w:hint="eastAsia"/>
          <w:szCs w:val="21"/>
        </w:rPr>
        <w:t>《经济</w:t>
      </w:r>
      <w:r>
        <w:rPr>
          <w:rFonts w:hint="eastAsia"/>
          <w:szCs w:val="21"/>
          <w:lang w:val="en-US" w:eastAsia="zh-Hans"/>
        </w:rPr>
        <w:t>法</w:t>
      </w:r>
      <w:r>
        <w:rPr>
          <w:rFonts w:hint="eastAsia"/>
          <w:szCs w:val="21"/>
        </w:rPr>
        <w:t>概论实习》课程考核</w:t>
      </w:r>
      <w:r>
        <w:rPr>
          <w:szCs w:val="21"/>
        </w:rPr>
        <w:t>由“期末</w:t>
      </w:r>
      <w:r>
        <w:rPr>
          <w:rFonts w:hint="eastAsia"/>
          <w:szCs w:val="21"/>
        </w:rPr>
        <w:t>考核</w:t>
      </w:r>
      <w:r>
        <w:rPr>
          <w:szCs w:val="21"/>
        </w:rPr>
        <w:t>7</w:t>
      </w:r>
      <w:r>
        <w:rPr>
          <w:rFonts w:hint="eastAsia"/>
          <w:szCs w:val="21"/>
        </w:rPr>
        <w:t>0</w:t>
      </w:r>
      <w:r>
        <w:rPr>
          <w:szCs w:val="21"/>
        </w:rPr>
        <w:t>%+</w:t>
      </w:r>
      <w:r>
        <w:rPr>
          <w:rFonts w:hint="eastAsia"/>
          <w:szCs w:val="21"/>
        </w:rPr>
        <w:t>过程考核</w:t>
      </w:r>
      <w:r>
        <w:rPr>
          <w:szCs w:val="21"/>
        </w:rPr>
        <w:t>3</w:t>
      </w:r>
      <w:r>
        <w:rPr>
          <w:rFonts w:hint="eastAsia"/>
          <w:szCs w:val="21"/>
        </w:rPr>
        <w:t>0</w:t>
      </w:r>
      <w:r>
        <w:rPr>
          <w:szCs w:val="21"/>
        </w:rPr>
        <w:t>%（</w:t>
      </w:r>
      <w:r>
        <w:rPr>
          <w:rFonts w:hint="eastAsia"/>
          <w:szCs w:val="21"/>
        </w:rPr>
        <w:t>实践报告</w:t>
      </w:r>
      <w:r>
        <w:rPr>
          <w:szCs w:val="21"/>
        </w:rPr>
        <w:t>、课堂表现</w:t>
      </w:r>
      <w:r>
        <w:rPr>
          <w:rFonts w:hint="eastAsia"/>
          <w:szCs w:val="21"/>
        </w:rPr>
        <w:t>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keepLines/>
        <w:spacing w:line="300" w:lineRule="auto"/>
        <w:ind w:firstLine="420" w:firstLineChars="200"/>
        <w:rPr>
          <w:rFonts w:ascii="宋体" w:hAnsi="宋体"/>
          <w:szCs w:val="21"/>
        </w:rPr>
      </w:pPr>
      <w:r>
        <w:rPr>
          <w:rFonts w:hint="eastAsia" w:ascii="宋体" w:hAnsi="宋体"/>
          <w:szCs w:val="21"/>
        </w:rPr>
        <w:t>平时</w:t>
      </w:r>
      <w:r>
        <w:rPr>
          <w:rFonts w:ascii="宋体" w:hAnsi="宋体"/>
          <w:szCs w:val="21"/>
        </w:rPr>
        <w:t>成绩：30%，包括</w:t>
      </w:r>
      <w:r>
        <w:rPr>
          <w:rFonts w:hint="eastAsia" w:ascii="宋体" w:hAnsi="宋体"/>
          <w:szCs w:val="21"/>
        </w:rPr>
        <w:t>实践过程互动、课堂表现、考勤、实践报告等</w:t>
      </w:r>
      <w:r>
        <w:rPr>
          <w:rFonts w:ascii="宋体" w:hAnsi="宋体"/>
          <w:szCs w:val="21"/>
        </w:rPr>
        <w:t>。</w:t>
      </w:r>
    </w:p>
    <w:p>
      <w:pPr>
        <w:keepLines/>
        <w:spacing w:line="300" w:lineRule="auto"/>
        <w:ind w:firstLine="420" w:firstLineChars="200"/>
        <w:rPr>
          <w:rFonts w:ascii="宋体" w:hAnsi="宋体"/>
          <w:szCs w:val="21"/>
        </w:rPr>
      </w:pPr>
      <w:r>
        <w:rPr>
          <w:rFonts w:ascii="宋体" w:hAnsi="宋体"/>
          <w:szCs w:val="21"/>
        </w:rPr>
        <w:t>期末</w:t>
      </w:r>
      <w:r>
        <w:rPr>
          <w:rFonts w:hint="eastAsia" w:ascii="宋体" w:hAnsi="宋体"/>
          <w:szCs w:val="21"/>
        </w:rPr>
        <w:t>考核</w:t>
      </w:r>
      <w:r>
        <w:rPr>
          <w:rFonts w:ascii="宋体" w:hAnsi="宋体"/>
          <w:szCs w:val="21"/>
        </w:rPr>
        <w:t>成绩：70%，采取</w:t>
      </w:r>
      <w:r>
        <w:rPr>
          <w:rFonts w:hint="eastAsia" w:ascii="宋体" w:hAnsi="宋体"/>
          <w:szCs w:val="21"/>
        </w:rPr>
        <w:t>案例分析综合报告的方式，选择一个与专业相关的研究热点项目内容，利用所学的经济法理论和实践内容分析此项目，并撰写综合实习报告。</w:t>
      </w:r>
    </w:p>
    <w:p>
      <w:pPr>
        <w:spacing w:line="300" w:lineRule="auto"/>
        <w:ind w:firstLine="420" w:firstLineChars="200"/>
        <w:rPr>
          <w:b/>
          <w:szCs w:val="20"/>
        </w:rPr>
      </w:pPr>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ascii="黑体" w:hAnsi="黑体" w:eastAsia="黑体"/>
          <w:bCs/>
          <w:spacing w:val="-3"/>
          <w:kern w:val="28"/>
          <w:szCs w:val="21"/>
          <w:lang w:val="en-GB"/>
        </w:rPr>
        <w:t>5</w:t>
      </w:r>
      <w:r>
        <w:rPr>
          <w:rFonts w:hint="eastAsia" w:ascii="黑体" w:hAnsi="黑体" w:eastAsia="黑体"/>
          <w:bCs/>
          <w:spacing w:val="-3"/>
          <w:kern w:val="28"/>
          <w:szCs w:val="21"/>
          <w:lang w:val="en-GB"/>
        </w:rPr>
        <w:t>：《经济法概论实习》课程考核评价环节及权重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134"/>
        <w:gridCol w:w="5371"/>
        <w:gridCol w:w="90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371"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5"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371" w:type="dxa"/>
            <w:vMerge w:val="continue"/>
            <w:shd w:val="clear" w:color="auto" w:fill="D9D9D9"/>
            <w:vAlign w:val="center"/>
          </w:tcPr>
          <w:p>
            <w:pPr>
              <w:spacing w:line="360" w:lineRule="auto"/>
              <w:jc w:val="center"/>
              <w:rPr>
                <w:rFonts w:ascii="宋体" w:hAnsi="宋体"/>
                <w:b/>
                <w:spacing w:val="-3"/>
                <w:sz w:val="18"/>
                <w:szCs w:val="18"/>
              </w:rPr>
            </w:pPr>
          </w:p>
        </w:tc>
        <w:tc>
          <w:tcPr>
            <w:tcW w:w="900"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5"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5371" w:type="dxa"/>
            <w:vAlign w:val="center"/>
          </w:tcPr>
          <w:p>
            <w:pPr>
              <w:snapToGrid w:val="0"/>
              <w:jc w:val="left"/>
              <w:rPr>
                <w:sz w:val="18"/>
                <w:szCs w:val="18"/>
              </w:rPr>
            </w:pPr>
            <w:r>
              <w:rPr>
                <w:rFonts w:hint="eastAsia"/>
                <w:sz w:val="18"/>
                <w:szCs w:val="18"/>
              </w:rPr>
              <w:t>1. 主要考核学生课前预习（线上），及课堂学习后对课程主要实践内容的理解和掌握程度，通过课后实践改进薄弱环节。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900" w:type="dxa"/>
            <w:vAlign w:val="center"/>
          </w:tcPr>
          <w:p>
            <w:pPr>
              <w:jc w:val="center"/>
              <w:rPr>
                <w:sz w:val="18"/>
                <w:szCs w:val="18"/>
              </w:rPr>
            </w:pPr>
            <w:r>
              <w:rPr>
                <w:rFonts w:hint="eastAsia"/>
                <w:sz w:val="18"/>
                <w:szCs w:val="18"/>
              </w:rPr>
              <w:t>10%</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课堂实践</w:t>
            </w:r>
          </w:p>
        </w:tc>
        <w:tc>
          <w:tcPr>
            <w:tcW w:w="5371" w:type="dxa"/>
            <w:vAlign w:val="center"/>
          </w:tcPr>
          <w:p>
            <w:pPr>
              <w:numPr>
                <w:ilvl w:val="0"/>
                <w:numId w:val="6"/>
              </w:numPr>
              <w:snapToGrid w:val="0"/>
              <w:jc w:val="left"/>
              <w:rPr>
                <w:sz w:val="18"/>
                <w:szCs w:val="18"/>
              </w:rPr>
            </w:pPr>
            <w:r>
              <w:rPr>
                <w:rFonts w:hint="eastAsia"/>
                <w:sz w:val="18"/>
                <w:szCs w:val="18"/>
              </w:rPr>
              <w:t>主要考查学生应用课程所学知识分析问题解决问题的能力和撰写实践报告的能力。</w:t>
            </w:r>
          </w:p>
          <w:p>
            <w:pPr>
              <w:numPr>
                <w:ilvl w:val="0"/>
                <w:numId w:val="6"/>
              </w:numPr>
              <w:snapToGrid w:val="0"/>
              <w:jc w:val="left"/>
              <w:rPr>
                <w:sz w:val="18"/>
                <w:szCs w:val="18"/>
              </w:rPr>
            </w:pPr>
            <w:r>
              <w:rPr>
                <w:rFonts w:hint="eastAsia"/>
                <w:sz w:val="18"/>
                <w:szCs w:val="18"/>
              </w:rPr>
              <w:t>每次实践报告按百分制单独评分，取各次成绩的平均值作为此环节的最终成绩依据。</w:t>
            </w:r>
          </w:p>
        </w:tc>
        <w:tc>
          <w:tcPr>
            <w:tcW w:w="900" w:type="dxa"/>
            <w:vAlign w:val="center"/>
          </w:tcPr>
          <w:p>
            <w:pPr>
              <w:jc w:val="center"/>
              <w:rPr>
                <w:sz w:val="18"/>
                <w:szCs w:val="18"/>
              </w:rPr>
            </w:pPr>
            <w:r>
              <w:rPr>
                <w:rFonts w:hint="eastAsia"/>
                <w:sz w:val="18"/>
                <w:szCs w:val="18"/>
              </w:rPr>
              <w:t>25%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出勤</w:t>
            </w:r>
          </w:p>
        </w:tc>
        <w:tc>
          <w:tcPr>
            <w:tcW w:w="5371" w:type="dxa"/>
            <w:vAlign w:val="center"/>
          </w:tcPr>
          <w:p>
            <w:pPr>
              <w:tabs>
                <w:tab w:val="left" w:pos="312"/>
              </w:tabs>
              <w:snapToGrid w:val="0"/>
              <w:jc w:val="left"/>
              <w:rPr>
                <w:sz w:val="18"/>
                <w:szCs w:val="18"/>
              </w:rPr>
            </w:pPr>
            <w:r>
              <w:rPr>
                <w:rFonts w:hint="eastAsia"/>
                <w:sz w:val="18"/>
                <w:szCs w:val="18"/>
              </w:rPr>
              <w:t>点名签到情况。</w:t>
            </w:r>
          </w:p>
        </w:tc>
        <w:tc>
          <w:tcPr>
            <w:tcW w:w="900" w:type="dxa"/>
            <w:vAlign w:val="center"/>
          </w:tcPr>
          <w:p>
            <w:pPr>
              <w:jc w:val="center"/>
              <w:rPr>
                <w:sz w:val="18"/>
                <w:szCs w:val="18"/>
              </w:rPr>
            </w:pPr>
            <w:r>
              <w:rPr>
                <w:rFonts w:hint="eastAsia"/>
                <w:sz w:val="18"/>
                <w:szCs w:val="18"/>
              </w:rPr>
              <w:t>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900" w:type="dxa"/>
            <w:vAlign w:val="center"/>
          </w:tcPr>
          <w:p>
            <w:pPr>
              <w:jc w:val="center"/>
              <w:rPr>
                <w:sz w:val="18"/>
                <w:szCs w:val="18"/>
              </w:rPr>
            </w:pPr>
            <w:r>
              <w:rPr>
                <w:rFonts w:hint="eastAsia"/>
                <w:sz w:val="18"/>
                <w:szCs w:val="18"/>
              </w:rPr>
              <w:t>10%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综合实训报告</w:t>
            </w:r>
          </w:p>
        </w:tc>
        <w:tc>
          <w:tcPr>
            <w:tcW w:w="5371" w:type="dxa"/>
            <w:vAlign w:val="center"/>
          </w:tcPr>
          <w:p>
            <w:pPr>
              <w:numPr>
                <w:ilvl w:val="0"/>
                <w:numId w:val="7"/>
              </w:numPr>
              <w:snapToGrid w:val="0"/>
              <w:jc w:val="left"/>
              <w:rPr>
                <w:sz w:val="18"/>
                <w:szCs w:val="18"/>
              </w:rPr>
            </w:pPr>
            <w:r>
              <w:rPr>
                <w:rFonts w:hint="eastAsia"/>
                <w:sz w:val="18"/>
                <w:szCs w:val="18"/>
              </w:rPr>
              <w:t>采取案例分析综合报告的方式，选择一个与专业相关的研究热点项目内容，利用所学的经济学理论和实践内容分析此项目，并撰写综合实习报告。</w:t>
            </w:r>
          </w:p>
          <w:p>
            <w:pPr>
              <w:numPr>
                <w:ilvl w:val="0"/>
                <w:numId w:val="7"/>
              </w:numPr>
              <w:snapToGrid w:val="0"/>
              <w:jc w:val="left"/>
              <w:rPr>
                <w:sz w:val="18"/>
                <w:szCs w:val="18"/>
              </w:rPr>
            </w:pPr>
            <w:r>
              <w:rPr>
                <w:rFonts w:hint="eastAsia"/>
                <w:sz w:val="18"/>
                <w:szCs w:val="18"/>
              </w:rPr>
              <w:t>体现综合运用课程所学知识进行分析能力的考察。</w:t>
            </w:r>
          </w:p>
          <w:p>
            <w:pPr>
              <w:numPr>
                <w:ilvl w:val="0"/>
                <w:numId w:val="7"/>
              </w:numPr>
              <w:snapToGrid w:val="0"/>
              <w:jc w:val="left"/>
              <w:rPr>
                <w:sz w:val="18"/>
                <w:szCs w:val="18"/>
              </w:rPr>
            </w:pPr>
            <w:r>
              <w:rPr>
                <w:rFonts w:hint="eastAsia"/>
                <w:sz w:val="18"/>
                <w:szCs w:val="18"/>
              </w:rPr>
              <w:t>考试须有合理的评分标准。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rPr>
          <w:szCs w:val="21"/>
        </w:rPr>
      </w:pPr>
      <w:r>
        <w:rPr>
          <w:rFonts w:hint="eastAsia"/>
          <w:szCs w:val="21"/>
        </w:rPr>
        <w:t>（2）平时考核评分细则与标准</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6</w:t>
      </w:r>
      <w:r>
        <w:rPr>
          <w:rFonts w:hint="eastAsia" w:ascii="黑体" w:hAnsi="黑体" w:eastAsia="黑体"/>
          <w:bCs/>
          <w:spacing w:val="-3"/>
          <w:kern w:val="28"/>
          <w:szCs w:val="21"/>
          <w:lang w:val="en-GB"/>
        </w:rPr>
        <w:t>：《经济法概论实习》课程平时考核考核评分细则与标准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1.主要考查学生应用课程所学知识分析问题解决问题的能力和撰写实践报告的能力。</w:t>
            </w:r>
          </w:p>
          <w:p>
            <w:pPr>
              <w:snapToGrid w:val="0"/>
              <w:jc w:val="left"/>
              <w:rPr>
                <w:sz w:val="18"/>
                <w:szCs w:val="18"/>
              </w:rPr>
            </w:pPr>
            <w:r>
              <w:rPr>
                <w:rFonts w:hint="eastAsia"/>
                <w:sz w:val="18"/>
                <w:szCs w:val="18"/>
              </w:rPr>
              <w:t>2.每次实践报告按百分制单独评分，取各次成绩的平均值作为此环节的最终成绩依据。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十</w:t>
      </w:r>
      <w:r>
        <w:rPr>
          <w:rFonts w:hint="eastAsia" w:ascii="黑体" w:hAnsi="黑体" w:eastAsia="黑体"/>
          <w:bCs/>
          <w:spacing w:val="-3"/>
          <w:kern w:val="44"/>
          <w:sz w:val="24"/>
          <w:szCs w:val="44"/>
          <w:lang w:val="en-GB"/>
        </w:rPr>
        <w:t>、教材和主要参考资料</w:t>
      </w:r>
    </w:p>
    <w:p>
      <w:pPr>
        <w:spacing w:line="300" w:lineRule="auto"/>
        <w:ind w:firstLine="420" w:firstLineChars="200"/>
        <w:rPr>
          <w:rFonts w:hint="eastAsia" w:hAnsi="宋体"/>
        </w:rPr>
      </w:pPr>
      <w:bookmarkStart w:id="2" w:name="_Hlk103002159"/>
      <w:r>
        <w:rPr>
          <w:rFonts w:hint="eastAsia" w:hAnsi="宋体"/>
        </w:rPr>
        <w:t>[1]</w:t>
      </w:r>
      <w:r>
        <w:rPr>
          <w:rFonts w:hint="default" w:hAnsi="宋体"/>
        </w:rPr>
        <w:t xml:space="preserve"> </w:t>
      </w:r>
      <w:r>
        <w:rPr>
          <w:rFonts w:hint="eastAsia" w:hAnsi="宋体"/>
        </w:rPr>
        <w:t>中国注册会计师协会组织编写《经济法》，北京</w:t>
      </w:r>
      <w:r>
        <w:rPr>
          <w:rFonts w:hint="default" w:hAnsi="宋体"/>
        </w:rPr>
        <w:t>：</w:t>
      </w:r>
      <w:r>
        <w:rPr>
          <w:rFonts w:hint="eastAsia" w:hAnsi="宋体"/>
        </w:rPr>
        <w:t>中国财经出版传媒集团、中国财政经济出版社，202</w:t>
      </w:r>
      <w:r>
        <w:rPr>
          <w:rFonts w:hAnsi="宋体"/>
        </w:rPr>
        <w:t>2</w:t>
      </w:r>
      <w:r>
        <w:rPr>
          <w:rFonts w:hint="eastAsia" w:hAnsi="宋体"/>
        </w:rPr>
        <w:t>年3月</w:t>
      </w:r>
      <w:r>
        <w:rPr>
          <w:rFonts w:hint="default" w:hAnsi="宋体"/>
        </w:rPr>
        <w:t>.</w:t>
      </w:r>
    </w:p>
    <w:p>
      <w:pPr>
        <w:spacing w:line="300" w:lineRule="auto"/>
        <w:ind w:firstLine="420" w:firstLineChars="200"/>
        <w:rPr>
          <w:rFonts w:hint="eastAsia" w:hAnsi="宋体"/>
        </w:rPr>
      </w:pPr>
      <w:r>
        <w:rPr>
          <w:rFonts w:hAnsi="宋体"/>
        </w:rPr>
        <w:t>[2]</w:t>
      </w:r>
      <w:r>
        <w:rPr>
          <w:rFonts w:hAnsi="宋体"/>
        </w:rPr>
        <w:t xml:space="preserve"> </w:t>
      </w:r>
      <w:r>
        <w:rPr>
          <w:rFonts w:hint="eastAsia" w:hAnsi="宋体"/>
        </w:rPr>
        <w:t>中华人民共和国民法典2020年5月28日第十三届全国人民代表大会第三次会议通过</w:t>
      </w:r>
      <w:r>
        <w:rPr>
          <w:rFonts w:hint="default" w:hAnsi="宋体"/>
        </w:rPr>
        <w:t>.</w:t>
      </w:r>
    </w:p>
    <w:p>
      <w:pPr>
        <w:spacing w:line="300" w:lineRule="auto"/>
        <w:ind w:firstLine="420" w:firstLineChars="200"/>
        <w:rPr>
          <w:rFonts w:hAnsi="宋体"/>
        </w:rPr>
      </w:pPr>
      <w:r>
        <w:rPr>
          <w:rFonts w:hAnsi="宋体"/>
        </w:rPr>
        <w:t>[3]</w:t>
      </w:r>
      <w:r>
        <w:rPr>
          <w:rFonts w:hAnsi="宋体"/>
        </w:rPr>
        <w:t xml:space="preserve"> </w:t>
      </w:r>
      <w:r>
        <w:rPr>
          <w:rFonts w:hint="eastAsia" w:hAnsi="宋体"/>
        </w:rPr>
        <w:t>中华人民共和国公司法2018年12月28日第十三届全国人民代表大会常务委员会第六次会议通过《关于修改〈中华人民共和国公司法〉的决定》第四次修正</w:t>
      </w:r>
      <w:r>
        <w:rPr>
          <w:rFonts w:hint="default" w:hAnsi="宋体"/>
        </w:rPr>
        <w:t>.</w:t>
      </w:r>
    </w:p>
    <w:p>
      <w:pPr>
        <w:spacing w:line="300" w:lineRule="auto"/>
        <w:ind w:firstLine="420" w:firstLineChars="200"/>
        <w:rPr>
          <w:rFonts w:hAnsi="宋体"/>
        </w:rPr>
      </w:pPr>
      <w:r>
        <w:rPr>
          <w:rFonts w:hint="eastAsia" w:hAnsi="宋体"/>
        </w:rPr>
        <w:t>[</w:t>
      </w:r>
      <w:r>
        <w:rPr>
          <w:rFonts w:hAnsi="宋体"/>
        </w:rPr>
        <w:t>4]</w:t>
      </w:r>
      <w:r>
        <w:rPr>
          <w:rFonts w:hAnsi="宋体"/>
        </w:rPr>
        <w:t xml:space="preserve"> </w:t>
      </w:r>
      <w:r>
        <w:rPr>
          <w:rFonts w:hint="eastAsia" w:hAnsi="宋体"/>
        </w:rPr>
        <w:t>王晓红、张秋华主编.</w:t>
      </w:r>
      <w:r>
        <w:rPr>
          <w:rFonts w:hint="default" w:hAnsi="宋体"/>
        </w:rPr>
        <w:t xml:space="preserve"> </w:t>
      </w:r>
      <w:r>
        <w:rPr>
          <w:rFonts w:hint="eastAsia" w:hAnsi="宋体"/>
        </w:rPr>
        <w:t>经济法概论（第六版）[</w:t>
      </w:r>
      <w:r>
        <w:rPr>
          <w:rFonts w:hAnsi="宋体"/>
        </w:rPr>
        <w:t>M]</w:t>
      </w:r>
      <w:r>
        <w:rPr>
          <w:rFonts w:hAnsi="宋体"/>
        </w:rPr>
        <w:t xml:space="preserve">. </w:t>
      </w:r>
      <w:r>
        <w:rPr>
          <w:rFonts w:hint="eastAsia" w:hAnsi="宋体"/>
        </w:rPr>
        <w:t>北京：中国人民大学出版社</w:t>
      </w:r>
      <w:r>
        <w:rPr>
          <w:rFonts w:hint="default" w:hAnsi="宋体"/>
        </w:rPr>
        <w:t xml:space="preserve">, </w:t>
      </w:r>
      <w:r>
        <w:rPr>
          <w:rFonts w:hAnsi="宋体"/>
        </w:rPr>
        <w:t>2021</w:t>
      </w:r>
      <w:r>
        <w:rPr>
          <w:rFonts w:hint="eastAsia" w:hAnsi="宋体"/>
        </w:rPr>
        <w:t>年</w:t>
      </w:r>
      <w:r>
        <w:rPr>
          <w:rFonts w:hint="default" w:hAnsi="宋体"/>
        </w:rPr>
        <w:t>.</w:t>
      </w:r>
    </w:p>
    <w:p>
      <w:pPr>
        <w:spacing w:line="300" w:lineRule="auto"/>
        <w:ind w:firstLine="420" w:firstLineChars="200"/>
        <w:rPr>
          <w:szCs w:val="20"/>
        </w:rPr>
      </w:pPr>
      <w:r>
        <w:rPr>
          <w:rFonts w:hint="eastAsia" w:hAnsi="宋体"/>
        </w:rPr>
        <w:t>[</w:t>
      </w:r>
      <w:r>
        <w:rPr>
          <w:rFonts w:hAnsi="宋体"/>
        </w:rPr>
        <w:t>5]</w:t>
      </w:r>
      <w:r>
        <w:rPr>
          <w:rFonts w:hAnsi="宋体"/>
        </w:rPr>
        <w:t xml:space="preserve"> </w:t>
      </w:r>
      <w:r>
        <w:rPr>
          <w:rFonts w:hint="eastAsia" w:hAnsi="宋体"/>
        </w:rPr>
        <w:t>梁静、张丹、李杰主编. 经济法概论（第二版）[M]</w:t>
      </w:r>
      <w:r>
        <w:rPr>
          <w:rFonts w:hint="default" w:hAnsi="宋体"/>
        </w:rPr>
        <w:t xml:space="preserve">. </w:t>
      </w:r>
      <w:r>
        <w:rPr>
          <w:rFonts w:hint="eastAsia" w:hAnsi="宋体"/>
        </w:rPr>
        <w:t>北京：清华大学出版社</w:t>
      </w:r>
      <w:r>
        <w:rPr>
          <w:rFonts w:hint="default" w:hAnsi="宋体"/>
        </w:rPr>
        <w:t xml:space="preserve">, </w:t>
      </w:r>
      <w:r>
        <w:rPr>
          <w:rFonts w:hint="eastAsia" w:hAnsi="宋体"/>
        </w:rPr>
        <w:t>202</w:t>
      </w:r>
      <w:r>
        <w:rPr>
          <w:rFonts w:hAnsi="宋体"/>
        </w:rPr>
        <w:t>2</w:t>
      </w:r>
      <w:r>
        <w:rPr>
          <w:rFonts w:hint="eastAsia" w:hAnsi="宋体"/>
        </w:rPr>
        <w:t>年</w:t>
      </w:r>
      <w:r>
        <w:rPr>
          <w:szCs w:val="20"/>
        </w:rPr>
        <w:t>．</w:t>
      </w:r>
    </w:p>
    <w:p>
      <w:pPr>
        <w:suppressAutoHyphens/>
        <w:spacing w:line="360" w:lineRule="auto"/>
        <w:rPr>
          <w:bCs/>
          <w:kern w:val="0"/>
          <w:szCs w:val="21"/>
        </w:rPr>
      </w:pPr>
    </w:p>
    <w:p>
      <w:pPr>
        <w:suppressAutoHyphens/>
        <w:spacing w:line="360" w:lineRule="auto"/>
        <w:rPr>
          <w:bCs/>
          <w:kern w:val="0"/>
          <w:szCs w:val="21"/>
        </w:rPr>
      </w:pPr>
    </w:p>
    <w:p>
      <w:pPr>
        <w:suppressAutoHyphens/>
        <w:spacing w:line="360" w:lineRule="auto"/>
        <w:rPr>
          <w:bCs/>
          <w:kern w:val="0"/>
          <w:szCs w:val="21"/>
        </w:rPr>
      </w:pPr>
    </w:p>
    <w:p>
      <w:pPr>
        <w:suppressAutoHyphens/>
        <w:spacing w:line="360" w:lineRule="auto"/>
        <w:ind w:firstLine="840" w:firstLineChars="400"/>
        <w:rPr>
          <w:bCs/>
          <w:kern w:val="0"/>
          <w:szCs w:val="21"/>
        </w:rPr>
      </w:pPr>
      <w:r>
        <w:rPr>
          <w:rFonts w:hint="eastAsia"/>
          <w:bCs/>
          <w:kern w:val="0"/>
          <w:szCs w:val="21"/>
        </w:rPr>
        <w:t>制 定 人：桂玲</w:t>
      </w:r>
      <w:r>
        <w:rPr>
          <w:bCs/>
          <w:kern w:val="0"/>
          <w:szCs w:val="21"/>
        </w:rPr>
        <w:t xml:space="preserve">                  </w:t>
      </w:r>
      <w:r>
        <w:rPr>
          <w:rFonts w:hint="eastAsia"/>
          <w:bCs/>
          <w:kern w:val="0"/>
          <w:szCs w:val="21"/>
        </w:rPr>
        <w:t xml:space="preserve"> </w:t>
      </w:r>
      <w:r>
        <w:rPr>
          <w:bCs/>
          <w:kern w:val="0"/>
          <w:szCs w:val="21"/>
        </w:rPr>
        <w:t xml:space="preserve">   </w:t>
      </w:r>
      <w:r>
        <w:rPr>
          <w:rFonts w:hint="eastAsia"/>
          <w:bCs/>
          <w:kern w:val="0"/>
          <w:szCs w:val="21"/>
        </w:rPr>
        <w:t>课程组（群）审核人：</w:t>
      </w:r>
      <w:r>
        <w:rPr>
          <w:rFonts w:hint="eastAsia"/>
          <w:bCs/>
          <w:kern w:val="0"/>
          <w:szCs w:val="21"/>
          <w:lang w:eastAsia="zh-Hans"/>
        </w:rPr>
        <w:t>桂玲</w:t>
      </w:r>
      <w:r>
        <w:rPr>
          <w:bCs/>
          <w:kern w:val="0"/>
          <w:szCs w:val="21"/>
          <w:lang w:eastAsia="zh-Hans"/>
        </w:rPr>
        <w:t>、</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r>
        <w:rPr>
          <w:kern w:val="0"/>
          <w:szCs w:val="21"/>
        </w:rPr>
        <w:t>2022</w:t>
      </w:r>
      <w:r>
        <w:rPr>
          <w:rFonts w:hint="eastAsia"/>
          <w:kern w:val="0"/>
          <w:szCs w:val="21"/>
        </w:rPr>
        <w:t xml:space="preserve">年 </w:t>
      </w:r>
      <w:r>
        <w:rPr>
          <w:kern w:val="0"/>
          <w:szCs w:val="21"/>
        </w:rPr>
        <w:t>9</w:t>
      </w:r>
      <w:r>
        <w:rPr>
          <w:rFonts w:hint="eastAsia"/>
          <w:kern w:val="0"/>
          <w:szCs w:val="21"/>
        </w:rPr>
        <w:t xml:space="preserve"> 月</w:t>
      </w:r>
      <w:r>
        <w:rPr>
          <w:kern w:val="0"/>
          <w:szCs w:val="21"/>
        </w:rPr>
        <w:t>11</w:t>
      </w:r>
      <w:r>
        <w:rPr>
          <w:rFonts w:hint="eastAsia"/>
          <w:kern w:val="0"/>
          <w:szCs w:val="21"/>
        </w:rPr>
        <w:t xml:space="preserve"> 日</w:t>
      </w:r>
      <w:bookmarkEnd w:id="2"/>
    </w:p>
    <w:p>
      <w:pPr>
        <w:tabs>
          <w:tab w:val="left" w:pos="1545"/>
        </w:tabs>
        <w:rPr>
          <w:lang w:val="en-GB"/>
        </w:rPr>
      </w:pPr>
      <w:bookmarkStart w:id="3" w:name="_GoBack"/>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黑体">
    <w:altName w:val="汉仪中黑KW"/>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STSong">
    <w:panose1 w:val="02010600040101010101"/>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FgAAAGRycy9QSwECFAAUAAAACACHTuJA&#10;s0lY7tAAAAAFAQAADwAAAAAAAAABACAAAAA4AAAAZHJzL2Rvd25yZXYueG1sUEsBAhQAFAAAAAgA&#10;h07iQOSzpqPCAgAA1gUAAA4AAAAAAAAAAQAgAAAANQEAAGRycy9lMm9Eb2MueG1sUEsFBgAAAAAG&#10;AAYAWQEAAGkGA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DBEEE7"/>
    <w:multiLevelType w:val="singleLevel"/>
    <w:tmpl w:val="9DDBEEE7"/>
    <w:lvl w:ilvl="0" w:tentative="0">
      <w:start w:val="1"/>
      <w:numFmt w:val="decimal"/>
      <w:suff w:val="space"/>
      <w:lvlText w:val="%1."/>
      <w:lvlJc w:val="left"/>
    </w:lvl>
  </w:abstractNum>
  <w:abstractNum w:abstractNumId="1">
    <w:nsid w:val="0CBC856A"/>
    <w:multiLevelType w:val="singleLevel"/>
    <w:tmpl w:val="0CBC856A"/>
    <w:lvl w:ilvl="0" w:tentative="0">
      <w:start w:val="1"/>
      <w:numFmt w:val="decimal"/>
      <w:lvlText w:val="%1."/>
      <w:lvlJc w:val="left"/>
      <w:pPr>
        <w:tabs>
          <w:tab w:val="left" w:pos="312"/>
        </w:tabs>
      </w:pPr>
    </w:lvl>
  </w:abstractNum>
  <w:abstractNum w:abstractNumId="2">
    <w:nsid w:val="403D1A56"/>
    <w:multiLevelType w:val="multilevel"/>
    <w:tmpl w:val="403D1A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08E541D"/>
    <w:multiLevelType w:val="multilevel"/>
    <w:tmpl w:val="408E541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30C541A"/>
    <w:multiLevelType w:val="multilevel"/>
    <w:tmpl w:val="430C541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61CD51AF"/>
    <w:multiLevelType w:val="multilevel"/>
    <w:tmpl w:val="61CD51A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DBF5749"/>
    <w:multiLevelType w:val="multilevel"/>
    <w:tmpl w:val="7DBF57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5"/>
  </w:num>
  <w:num w:numId="3">
    <w:abstractNumId w:val="3"/>
  </w:num>
  <w:num w:numId="4">
    <w:abstractNumId w:val="6"/>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74"/>
    <w:rsid w:val="000754EF"/>
    <w:rsid w:val="000A3ABC"/>
    <w:rsid w:val="000B6235"/>
    <w:rsid w:val="000B7B1A"/>
    <w:rsid w:val="000C2C74"/>
    <w:rsid w:val="000D10F5"/>
    <w:rsid w:val="000E4A19"/>
    <w:rsid w:val="000F4A1F"/>
    <w:rsid w:val="00172E8D"/>
    <w:rsid w:val="0022043A"/>
    <w:rsid w:val="00221B99"/>
    <w:rsid w:val="00242168"/>
    <w:rsid w:val="00274139"/>
    <w:rsid w:val="002E5E98"/>
    <w:rsid w:val="0037608C"/>
    <w:rsid w:val="00381BAB"/>
    <w:rsid w:val="003E31F9"/>
    <w:rsid w:val="004214BA"/>
    <w:rsid w:val="00423F2D"/>
    <w:rsid w:val="00434402"/>
    <w:rsid w:val="00451824"/>
    <w:rsid w:val="004C04DC"/>
    <w:rsid w:val="004D2DEE"/>
    <w:rsid w:val="004D4EEB"/>
    <w:rsid w:val="004E4B09"/>
    <w:rsid w:val="00554E89"/>
    <w:rsid w:val="00570CCA"/>
    <w:rsid w:val="005A25BE"/>
    <w:rsid w:val="005D75EE"/>
    <w:rsid w:val="00604CB2"/>
    <w:rsid w:val="0061447A"/>
    <w:rsid w:val="00667F59"/>
    <w:rsid w:val="006E0694"/>
    <w:rsid w:val="006F7035"/>
    <w:rsid w:val="00756099"/>
    <w:rsid w:val="007A7E07"/>
    <w:rsid w:val="007D29D0"/>
    <w:rsid w:val="007F21EB"/>
    <w:rsid w:val="008619C4"/>
    <w:rsid w:val="008F3352"/>
    <w:rsid w:val="009066E9"/>
    <w:rsid w:val="009875A3"/>
    <w:rsid w:val="0099288F"/>
    <w:rsid w:val="009D450C"/>
    <w:rsid w:val="009E300E"/>
    <w:rsid w:val="00A13E1B"/>
    <w:rsid w:val="00A23CD8"/>
    <w:rsid w:val="00B1247C"/>
    <w:rsid w:val="00B830CF"/>
    <w:rsid w:val="00BB0963"/>
    <w:rsid w:val="00C60F29"/>
    <w:rsid w:val="00CD0D44"/>
    <w:rsid w:val="00D62EE1"/>
    <w:rsid w:val="00E70DD3"/>
    <w:rsid w:val="00EC4C2D"/>
    <w:rsid w:val="00F74A68"/>
    <w:rsid w:val="00FB1545"/>
    <w:rsid w:val="00FD6BEA"/>
    <w:rsid w:val="3F7F90FA"/>
    <w:rsid w:val="3FD4E415"/>
    <w:rsid w:val="57DC60E7"/>
    <w:rsid w:val="5FFE8B53"/>
    <w:rsid w:val="6EFF0223"/>
    <w:rsid w:val="73BF3ACD"/>
    <w:rsid w:val="7D6FB3E8"/>
    <w:rsid w:val="7F5FAE7B"/>
    <w:rsid w:val="7FBDF778"/>
    <w:rsid w:val="9AF42521"/>
    <w:rsid w:val="D4DF9D90"/>
    <w:rsid w:val="DFFDBD8D"/>
    <w:rsid w:val="E7F56E41"/>
    <w:rsid w:val="ED7719DC"/>
    <w:rsid w:val="F9BF96CE"/>
    <w:rsid w:val="FEEE4E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annotation reference"/>
    <w:qFormat/>
    <w:uiPriority w:val="0"/>
    <w:rPr>
      <w:sz w:val="21"/>
      <w:szCs w:val="21"/>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1级标题 Char"/>
    <w:link w:val="10"/>
    <w:qFormat/>
    <w:uiPriority w:val="0"/>
    <w:rPr>
      <w:rFonts w:ascii="黑体" w:hAnsi="黑体" w:eastAsia="黑体"/>
      <w:bCs/>
      <w:spacing w:val="-3"/>
      <w:kern w:val="44"/>
      <w:sz w:val="24"/>
      <w:szCs w:val="44"/>
      <w:lang w:val="en-GB"/>
    </w:rPr>
  </w:style>
  <w:style w:type="paragraph" w:customStyle="1" w:styleId="10">
    <w:name w:val="1级标题"/>
    <w:basedOn w:val="2"/>
    <w:link w:val="9"/>
    <w:qFormat/>
    <w:uiPriority w:val="0"/>
    <w:pPr>
      <w:spacing w:before="0" w:after="0" w:line="360" w:lineRule="auto"/>
      <w:jc w:val="left"/>
    </w:pPr>
    <w:rPr>
      <w:rFonts w:ascii="黑体" w:hAnsi="黑体" w:eastAsia="黑体" w:cstheme="minorBidi"/>
      <w:b w:val="0"/>
      <w:spacing w:val="-3"/>
      <w:sz w:val="24"/>
      <w:lang w:val="en-GB"/>
    </w:rPr>
  </w:style>
  <w:style w:type="character" w:customStyle="1" w:styleId="11">
    <w:name w:val="标题 1 字符"/>
    <w:basedOn w:val="5"/>
    <w:link w:val="2"/>
    <w:qFormat/>
    <w:uiPriority w:val="9"/>
    <w:rPr>
      <w:rFonts w:ascii="Times New Roman" w:hAnsi="Times New Roman" w:eastAsia="宋体" w:cs="Times New Roman"/>
      <w:b/>
      <w:bCs/>
      <w:kern w:val="44"/>
      <w:sz w:val="44"/>
      <w:szCs w:val="44"/>
    </w:rPr>
  </w:style>
  <w:style w:type="character" w:customStyle="1" w:styleId="12">
    <w:name w:val="页眉 字符"/>
    <w:basedOn w:val="5"/>
    <w:link w:val="4"/>
    <w:qFormat/>
    <w:uiPriority w:val="99"/>
    <w:rPr>
      <w:rFonts w:ascii="Times New Roman" w:hAnsi="Times New Roman" w:eastAsia="宋体" w:cs="Times New Roman"/>
      <w:sz w:val="18"/>
      <w:szCs w:val="18"/>
    </w:rPr>
  </w:style>
  <w:style w:type="character" w:customStyle="1" w:styleId="13">
    <w:name w:val="页脚 字符"/>
    <w:basedOn w:val="5"/>
    <w:link w:val="3"/>
    <w:qFormat/>
    <w:uiPriority w:val="99"/>
    <w:rPr>
      <w:rFonts w:ascii="Times New Roman" w:hAnsi="Times New Roman" w:eastAsia="宋体" w:cs="Times New Roman"/>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824</Words>
  <Characters>4698</Characters>
  <Lines>39</Lines>
  <Paragraphs>11</Paragraphs>
  <TotalTime>0</TotalTime>
  <ScaleCrop>false</ScaleCrop>
  <LinksUpToDate>false</LinksUpToDate>
  <CharactersWithSpaces>5511</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2022-08-10T18:58:00Z</dcterms:created>
  <dc:creator>刘 meng'lei</dc:creator>
  <cp:lastModifiedBy>bingyu</cp:lastModifiedBy>
  <dcterms:modified xsi:type="dcterms:W3CDTF">2022-12-14T23:43:15Z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ies>
</file>