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00"/>
        <w:gridCol w:w="2175"/>
        <w:gridCol w:w="2115"/>
        <w:gridCol w:w="6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 xml:space="preserve">         合肥经济学院2024年人才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单　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及计划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要  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学位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学科（专业）及相关要求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（5人）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 马克思主义理论学科各专业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  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中共党员，本科阶段和硕士阶段的专业背景均为马克思主义理论学科，具备扎实的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专业基础知识和良好的教学科研潜质，服从工作安排。</w:t>
            </w:r>
          </w:p>
          <w:p>
            <w:pPr>
              <w:widowControl/>
              <w:pBdr>
                <w:bottom w:val="none" w:color="auto" w:sz="0" w:space="0"/>
              </w:pBdr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文法学院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汉语国际教育2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　　本科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和硕士阶段须为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汉语国际教育、语言学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应用语言学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、对外汉语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等相关专业，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具备扎实的语言学和文学基础知识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。具</w:t>
            </w:r>
            <w:r>
              <w:rPr>
                <w:rFonts w:hint="eastAsia" w:ascii="宋体" w:hAnsi="宋体" w:eastAsia="宋体" w:cs="宋体"/>
                <w:iCs w:val="0"/>
                <w:kern w:val="0"/>
                <w:sz w:val="21"/>
                <w:szCs w:val="21"/>
                <w:lang w:val="en-US" w:eastAsia="zh-CN" w:bidi="ar"/>
              </w:rPr>
              <w:t>有相关从教经验、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获得国际汉语教师证书者优先。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汉语言文学2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汉语言文学、中国现当代文学、中国古代文学、汉语言文字学等相关专业。具有扎实的基础理论功底，较强的教学科研能力和良好的专业素养。具有从教经验者、参加教学竞赛获奖者优先。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1、专业方向为法学类（刑法学、外国刑法学、刑罚学、法学理论、宪法学、行政法学、刑事诉讼法学、民事诉讼法等）。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2、有主持项目者、有指导或参加各类学科竞赛并获奖者优先。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（7人）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英语、商务英语6人，日语1人。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1.英语类专业、商务英语专业、翻译（口译）专业；英语专业八级证书或雅思6.5以上、托福80以上，具备较强的跨语言文化交际能力。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2.日语类专业，具有N1证书。</w:t>
            </w:r>
          </w:p>
          <w:p>
            <w:pPr>
              <w:widowControl/>
              <w:ind w:left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3.有高校工作经验、中高级专业资格证书者，或有海外留学背景、党务工作经验者优先。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艺术设计学院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人）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土木工程、工程造价、工程管理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1、能承担工程造价、工程管理等专业本科课程教学任务，并能指导学生参加相关技能竞赛。具有良好的团结协作、钻研、踏实肯干的职业精神与专业素养。2、有企业或高校工作经验优先。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产品设计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1、熟练操作产品（工业）设计三维造型及渲染软件，能承担产品设计等专业本科课程教学任务，并能指导学生参加相关技能竞赛。具有良好的团结协作、钻研、踏实肯干的职业精神与专业素养；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2、有主持各级纵向和各类横向项目者、有指导或参加各类学科竞赛并获奖者优先。3、有企业或高校工作经验者优先。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数字媒体艺术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1、熟悉视频制作流程，视频剪辑技巧，视频后期制作，视频的各类编解码和网络视频常用格式实训的教学与技能竞赛；</w:t>
            </w:r>
          </w:p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2、熟悉视频渲染，建模，以及后期特效、调色、音频、字幕等，熟练操作相关制作软件(AE、Premiere、Edius、3DMAX、CAD、PS等) ；</w:t>
            </w:r>
          </w:p>
          <w:p>
            <w:pPr>
              <w:snapToGrid/>
              <w:spacing w:before="0" w:after="0" w:line="240" w:lineRule="auto"/>
              <w:ind w:left="0" w:right="0" w:firstLine="420" w:firstLineChars="20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3、能承担数字媒体艺术专业本科课程教学任务，并能指导学生参加相关技能竞赛。具有良好的团结协作、钻研、踏实肯干的职业精神与专业素养；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4、有主持各级纵向和各类横向项目者、有指导或参加各类学科竞赛并获奖者优先。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环境设计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能承担环境设计专业本科课程教学任务，并能指导学生参加相关技能竞赛。具有良好的团结协作、钻研、踏实肯干的职业精神与专业素养。2、有主持各级纵向和各类横向课题者、有指导或参加A类学科竞赛并获奖者优先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3、有企业或高校中级及以上职称者优先。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视觉传达设计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硕士/博士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4" w:space="0"/>
              <w:bottom w:val="single" w:color="999999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能承担视觉传达设计专业本科课程教学任务，并能指导学生参加相关技能竞赛。具有良好的团结协作、钻研、踏实肯干的职业精神与专业素养。2、有主持各级纵向和各类横向课题者、有指导或参加A类学科竞赛并获奖者优先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3、有企业或高校中级及以上职称者优先。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2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人工智能学院</w:t>
            </w:r>
          </w:p>
        </w:tc>
        <w:tc>
          <w:tcPr>
            <w:tcW w:w="150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（27人）</w:t>
            </w:r>
          </w:p>
        </w:tc>
        <w:tc>
          <w:tcPr>
            <w:tcW w:w="21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物联网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1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具备扎实的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专业基础知识和良好的教学科研潜质。具有较强的口头表达能力和教学组织能力，能够承担相应专业课程的教学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任务。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999999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通信工程2</w:t>
            </w:r>
          </w:p>
        </w:tc>
        <w:tc>
          <w:tcPr>
            <w:tcW w:w="2115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电子信息工程2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网络工程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大数据科学与技术</w:t>
            </w:r>
            <w:r>
              <w:rPr>
                <w:rFonts w:hint="eastAsia" w:asciiTheme="minorEastAsia" w:hAnsiTheme="minorEastAsia"/>
                <w:color w:val="auto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人工智能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专任教师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（3人）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999999" w:sz="6" w:space="0"/>
              <w:bottom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高层次人才（市场营销）1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999999" w:sz="6" w:space="0"/>
              <w:bottom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999999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在工商管理（特别是市场营销）专业领域具有较高学术影响和前沿研究成果，能够胜任市场营销专业学术技术带头人、专业建设负责人、指导青年教师等任务。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vMerge w:val="restart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bottom w:val="none" w:color="auto" w:sz="0" w:space="0"/>
              </w:pBdr>
              <w:jc w:val="lef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硕士研究生及以上学历，本科为计算机类、电子信息类、信息管理与信息系统专业或研究方向为计算机、信息系统；有企业相关工作经验者优先。能胜任网站建设、电子商务系统分析与设计、网络视频拍摄与制作等课程教学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硕士研究生及以上学历，研究生或本科为物流管理、物流工程、智慧物流、冷链物流、供应链管理、计算机应用等相关专业；有企业相关工作经验者优先。能胜任配送中心规划设计、物流系统、运筹学、物流管理信息系统设计等课程教学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999999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物流工程1</w:t>
            </w:r>
          </w:p>
        </w:tc>
        <w:tc>
          <w:tcPr>
            <w:tcW w:w="211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362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财务管理学院</w:t>
            </w:r>
          </w:p>
        </w:tc>
        <w:tc>
          <w:tcPr>
            <w:tcW w:w="150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（16人）</w:t>
            </w:r>
          </w:p>
        </w:tc>
        <w:tc>
          <w:tcPr>
            <w:tcW w:w="21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财务管理专业5</w:t>
            </w:r>
          </w:p>
        </w:tc>
        <w:tc>
          <w:tcPr>
            <w:tcW w:w="211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硕士研究生及以上学历，本科须为财务管理、计算机类、统计学、税务，大数据管理与应用、数据科学与大数据技术专业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计算机类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、大数据管理与应用、数据科学与大数据技术专业，须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具有较高的的实践动手能力，能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承担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Python语言程序设计、财务大数据分析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、数据库原理与应用等数据处理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课程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。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4、有主持项目者、有指导或参加各类学科竞赛并获奖者优先。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2" w:type="dxa"/>
            <w:vMerge w:val="continue"/>
            <w:tcBorders>
              <w:top w:val="single" w:color="999999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999999" w:sz="6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999999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会计学5</w:t>
            </w:r>
          </w:p>
        </w:tc>
        <w:tc>
          <w:tcPr>
            <w:tcW w:w="2115" w:type="dxa"/>
            <w:vMerge w:val="continue"/>
            <w:tcBorders>
              <w:top w:val="single" w:color="999999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999999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硕士研究生及以上学历，本科须为会计学、计算机类、统计学、税务，大数据管理与应用、数据科学与大数据技术专业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计算机类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、大数据管理与应用、数据科学与大数据技术专业，须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具有较高的的实践动手能力，能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承担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Python语言程序设计、财务大数据分析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、数据库原理与应用等数据处理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课程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0"/>
                <w:u w:val="none"/>
              </w:rPr>
              <w:t>。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4、有主持项目者、有指导或参加各类学科竞赛并获奖者优先。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审计学3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4"/>
              </w:numPr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硕士研究生及以上学历，本科须为审计学专业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3、有主持项目者、有指导或参加各类学科竞赛并获奖者优先。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资产评估3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硕士研究生及以上学历，本科须为资产评估专业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2、具有良好的理论素养和较高的业务水平，有实际高校工作经验和相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关教学经验或具有相关专业资格证书者优先考虑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3、有主持项目者、有指导或参加各类学科竞赛并获奖者优先。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工学院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机械设计制造及其自动化2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机械设计制造及自动化相关专业。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设计理论、控制与运动仿真技术，能熟练指导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机械设计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等实训的教学与技能竞赛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智能制造工程2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   智能制造工程相关专业，能完成智能制造工程相关的理论教学+科研能熟练指导相关实训的教学与技能竞赛。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  <w:t>新能源汽车工程2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    新能源汽车工程相关专业。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熟悉新能源汽车设计理论、制造和系统控制技术，能承担有关新能源汽车工程的专业核心课程教学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，能熟悉指导有关新能源汽车专业实训和技能竞赛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车辆工程2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车辆工程相关专业。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熟悉汽车设计理论、汽车制造和系统控制技术，能承担有关车辆工程的专业核心课程教学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，能熟悉指导有关汽车设计、运动仿真和控制、维修等专业实训和技能竞赛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电气工程及其自动化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（电网、自动控制方向）4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　电气工程及相关专业。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熟悉电力系统及其自动化、电子与电力传动、智能电网信息工程、能承担有关智能电网与电力系统继电保护课程的理论教学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，能熟练指导智能电网与自动控制技术等课程的实训教学与技能竞赛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3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金融学院</w:t>
            </w:r>
          </w:p>
          <w:p>
            <w:pPr>
              <w:widowControl/>
              <w:jc w:val="center"/>
              <w:textAlignment w:val="center"/>
            </w:pPr>
          </w:p>
          <w:p>
            <w:pPr>
              <w:widowControl/>
              <w:jc w:val="center"/>
              <w:textAlignment w:val="center"/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专职</w:t>
            </w: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教师（9人）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大数据应用与管理专业（5人）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705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1、专业要求：大数据应用与管理专业或计算机专业或统计学专业</w:t>
            </w:r>
          </w:p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2、熟悉大数据应用与管理专业相关理论知识，能承担有关大数据应用与管理理论课程的教学任务；</w:t>
            </w:r>
          </w:p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3、具有较高的大数据应用专业的实践动手能力，能熟练指导Python语言程序设计、大数据可视化技术等课程的实训教学与技能竞赛</w:t>
            </w:r>
          </w:p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4、具有扎实的计算机应用能力。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5、具有良好的团结协作、钻研、踏实肯干的职业精神与专业素养。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资源与环境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经济学专业（2人）</w:t>
            </w: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1、专业要求：土地资源管理或资源与环境经济学等相关专业</w:t>
            </w:r>
          </w:p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2、熟悉资源与环境经济学专业相关理论知识，能承担有关资源与环境经济学理论课程的教学任务；</w:t>
            </w:r>
          </w:p>
          <w:p>
            <w:pPr>
              <w:snapToGrid/>
              <w:spacing w:before="0" w:after="0" w:line="240" w:lineRule="auto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3、具有较高的专业实践动手能力，能够熟练指导学生进行专业实践操作；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4、具有一定的理论研究能力，具有良好的团结协作、钻研、踏实肯干的职业精神与专业素养。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经济学专业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（2人）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1、专业要求：经济学相关专业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2、熟悉经济学专业相关理论知识，能承担有关经济学理论课程的教学任务；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3、具有较高的经济学专业实践操作能力，能够熟练指导学生进行专业实践操作；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4、具有一定的理论研究能力，具有良好的团结协作、钻研、踏实肯干的职业精神与专业素养。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高层次人才引进</w:t>
            </w:r>
          </w:p>
          <w:p>
            <w:p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1人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1、专业要求：经济学相关专业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2、职称：教授</w:t>
            </w:r>
          </w:p>
          <w:p>
            <w:pPr>
              <w:widowControl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3、具有丰富的专业建设经验，能对学院专业发展进行指导，并具有较高的教科研研究能力和水平。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基础教学部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数学2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1.能熟练掌握数学类课程的数学软件操作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2.在全国数学建模（A类赛事）或数学竞赛（B类赛事）等竞赛中获奖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left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具有良好的团结协作、钻研、踏实肯干的职业精神与专业素养，并取得一定的科研成</w:t>
            </w:r>
          </w:p>
          <w:p>
            <w:pPr>
              <w:widowControl/>
              <w:pBdr>
                <w:bottom w:val="none" w:color="auto" w:sz="0" w:space="0"/>
              </w:pBdr>
              <w:ind w:lef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汉语言文学1</w:t>
            </w: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1.具备深厚的中华传统文化知识储备，对经典著作和文化传统有深入的理解，其中文艺学，中国古代文学研究方向者优先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2.具备扎实的学术研究能力，能够独立完成中华传统文化相关的研究项目，并在学术刊物上发表相关论文</w:t>
            </w:r>
          </w:p>
          <w:p>
            <w:pPr>
              <w:widowControl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（乒乓球、足球、民族传统体育、篮球） 6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具有较好的运动技能，可以组织大型体育活动，具有二级（含）以上运动员或一级（含）以上裁判等级称号，同时熟练掌握另外一项专业体育技术 。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2.能承担体育类课程教学，并能带队训练，参加体育类赛事 。 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熟悉计算机操作，能独立完成大学生体质健康测试相关工作。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 xml:space="preserve">足球具有D级（含） 教练员证以上，民族传统体育为龙舟或舞龙舞狮方向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　办公室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文员（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中文、新闻、历史、法律、思想政治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　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/博士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、热爱高校教育工作，具有较高的思想政治素养、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较强的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宣传、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文字写作能力；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、能够熟练操作基本的办公软件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3、有高校宣传、文字工作经验者优先。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4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实践教学中心（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电子电器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技术员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电子电器及自动控制相关专业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硕士（有工作经验者可放宽至本科）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1、电子电气工程等相关专业，具备电气、自动控制相关知识，熟悉电气标准。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3、能够独立检测和排除数、模电；单片机等实验设备简单故障。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4、有较强的责任心、沟通能力、善于学习；动手能力强。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普通车床、数控机床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等实验设备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，有职业技能证书者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可放宽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至全日制本科。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4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网络安全员1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计算机及相关专业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硕士（有工作经验者可放宽至本科）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1、网络安全、网络工程等相关专业，具有一定的计算机网络管理技能。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具备主流操作系统运维经验，熟练解决linux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Windows 等</w:t>
            </w:r>
            <w:r>
              <w:rPr>
                <w:rFonts w:ascii="宋体" w:hAnsi="宋体" w:eastAsia="宋体" w:cs="宋体"/>
                <w:sz w:val="22"/>
                <w:szCs w:val="22"/>
              </w:rPr>
              <w:t>系统各类运维问题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熟悉主流防火墙、堡垒机、WAF等安全产品的使用配置。具备解决相关问题能力。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sz w:val="22"/>
                <w:szCs w:val="22"/>
              </w:rPr>
              <w:t>熟悉主流的网络技术和主流厂商的网络、安全等产品，精通路由交换及安全技术，具有较强的架构设计及文档编写能力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5、熟悉PC机硬件维护，各种网络设备基本维护；对服务器、防火墙等能够熟练操作及维护，具备故障诊断和处理能力。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4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网络管理员1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计算机及相关专业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计算机相关专业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，熟悉计算机软硬件系统及一般故障的检测排除，具有一定的计算机网络知识。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熟悉操作系统、常用计算机软件的安装、使用及维护，会使用常见服务器系统，如WEB、FTP等；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3、具备较强的工作责任感和团队合作精神，良好的教学服务意识。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96AA3"/>
    <w:multiLevelType w:val="singleLevel"/>
    <w:tmpl w:val="80B96A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19907B42"/>
    <w:multiLevelType w:val="singleLevel"/>
    <w:tmpl w:val="19907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5B654F3"/>
    <w:multiLevelType w:val="multilevel"/>
    <w:tmpl w:val="25B654F3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MzhlMjhhNjU0ODVjOTJlNzRmZWJkZTNmY2NjMzUifQ=="/>
  </w:docVars>
  <w:rsids>
    <w:rsidRoot w:val="11227A99"/>
    <w:rsid w:val="02270AF6"/>
    <w:rsid w:val="052F1663"/>
    <w:rsid w:val="084913C0"/>
    <w:rsid w:val="11227A99"/>
    <w:rsid w:val="196C2DEF"/>
    <w:rsid w:val="288D66B8"/>
    <w:rsid w:val="3FE333C1"/>
    <w:rsid w:val="406F330C"/>
    <w:rsid w:val="40FC33E4"/>
    <w:rsid w:val="495270B6"/>
    <w:rsid w:val="5094121F"/>
    <w:rsid w:val="527F55FE"/>
    <w:rsid w:val="59C979F0"/>
    <w:rsid w:val="5BDC6254"/>
    <w:rsid w:val="61F36DE8"/>
    <w:rsid w:val="6C5351CA"/>
    <w:rsid w:val="6E340BBC"/>
    <w:rsid w:val="7AD10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2023-11-09T09:38:00Z</dcterms:created>
  <dc:creator>PC</dc:creator>
  <cp:lastModifiedBy>宛小雯</cp:lastModifiedBy>
  <dcterms:modified xsi:type="dcterms:W3CDTF">2023-11-17T04:07:42Z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CCC41BB0C812459DB49A8E1B0C0386B8_13</vt:lpwstr>
  </property>
</Properties>
</file>