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安徽省普通高校基本教学活动标准化建设评价表</w:t>
      </w:r>
    </w:p>
    <w:p>
      <w:pPr>
        <w:jc w:val="center"/>
        <w:rPr>
          <w:rFonts w:hint="eastAsia" w:ascii="黑体" w:hAnsi="黑体" w:eastAsia="黑体" w:cs="黑体"/>
          <w:sz w:val="16"/>
          <w:szCs w:val="16"/>
        </w:rPr>
      </w:pPr>
    </w:p>
    <w:tbl>
      <w:tblPr>
        <w:tblStyle w:val="5"/>
        <w:tblW w:w="15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027"/>
        <w:gridCol w:w="2121"/>
        <w:gridCol w:w="7491"/>
        <w:gridCol w:w="2856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8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一级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指标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二级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指标</w:t>
            </w:r>
          </w:p>
        </w:tc>
        <w:tc>
          <w:tcPr>
            <w:tcW w:w="2121" w:type="dxa"/>
            <w:vAlign w:val="center"/>
          </w:tcPr>
          <w:p>
            <w:pPr>
              <w:ind w:firstLine="241" w:firstLineChars="100"/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观测点</w:t>
            </w:r>
          </w:p>
        </w:tc>
        <w:tc>
          <w:tcPr>
            <w:tcW w:w="749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评价要点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（满分124分，共62项，每项2分）</w:t>
            </w: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支撑材料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评分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（合格2分，不合格0分）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1.教学规范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（32分</w:t>
            </w:r>
            <w:r>
              <w:rPr>
                <w:rFonts w:hint="eastAsia"/>
              </w:rPr>
              <w:t>）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1.1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政治立场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（4分）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1.1.1坚持正确的政治方向（4分）</w:t>
            </w:r>
          </w:p>
        </w:tc>
        <w:tc>
          <w:tcPr>
            <w:tcW w:w="7491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一切教学活动必须严格最受政治纪律；</w:t>
            </w:r>
          </w:p>
          <w:p>
            <w:pPr>
              <w:numPr>
                <w:ilvl w:val="0"/>
                <w:numId w:val="1"/>
              </w:num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认真贯彻执行党和国家的教育方针、政策。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教学规范总结报告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1.2职业操守（12分）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1.2.1落实立德树人的根本任务（6分）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3.教学活动应符合高等教育基本规律和人才成长规律；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4.充分发挥教师的主导作用和学生的主体作用；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5.把立德树人内化到教学的各个环节，坚持以文化人、以德自人。不断提高学生思想水平、政治觉悟、道德品质、文化素养。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1.2.2恪守教育的基本信念（6分）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6.教师在教学活动中须遵守师德规范，爱岗敬业；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7.严于律已，公正、公平地对待每位学生: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8.尊重学生人格，创造有利于学生健康成长的教学环境。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1.3严谨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执教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（16分）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1.3.1认真完成教学任务（6分）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9.遵循教学客观规律，认真完成教学任务: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10.维护课堂纪律，对学生在教学过程中的不当行为加以及时制止、批评教育: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11.定明进行教学质量检查，每门课程至少应有1次教学考核，作为学生课程成绩的评价标准之一。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1.3.2为人师表（4分）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12.教风端正，着装得体，言行文明: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13.以优良的思想品德、仪表，语言、行为对学生言传身教。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1.3.3严格遵守学校教学管理制度（6分）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14.按照作息时间上课、下课，不得无故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旷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课、迟到或提前下课: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15.不得擅自调课、停课、请人代课: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16.教师在课堂上不得做与教学无关的事情。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2.教学组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织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（4</w:t>
            </w:r>
            <w:r>
              <w:rPr>
                <w:rFonts w:ascii="宋体" w:hAnsi="宋体" w:eastAsia="宋体" w:cs="宋体"/>
                <w:sz w:val="24"/>
                <w:szCs w:val="32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2.1备课（14分）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2.1.1确定教学大纲（6分）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17.认真钻研和掌握教材的全部内容及结构: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18.统筹组织安排本课程各环节的教学工作: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19.各门课程有明确的教学大纲。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所承担课程的课程教学大纲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2.1.2制定教学日历（2分）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20.根据教学大纲，安排教学进度，制订教学日历。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近三年所承担教学任务教学日历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2.1.3准备教辅材料（6分）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21.按照教学大纲要求准备教辅材料: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22.根据需要开发制作电子课件，认真撰写教案或讲稿: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23.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并</w:t>
            </w:r>
            <w:r>
              <w:rPr>
                <w:rFonts w:ascii="宋体" w:hAnsi="宋体" w:eastAsia="宋体" w:cs="宋体"/>
                <w:sz w:val="24"/>
                <w:szCs w:val="32"/>
              </w:rPr>
              <w:t>选定与教材匹配的参考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书。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1.近三年承担教学任务的电子课件汇编；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2.备课笔记(教案、讲稿)；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3.教学参考资料目录清单。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jc w:val="both"/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2.2授课（18分）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2.2.1明确课程要求（4分）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24.在开课之初应准备课程简介，依据课程教学大纲简要介绍课程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概况、考核方式、平时成绩构成以及课程总成绩的结构比例: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25.对课程学习提出明确的要求.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2.2.2认真讲解课程内容（6分）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26.在讲投过程中，任课教师应全面把握课程教学的深度、广度: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27.注意课程内容的前后衔接，积极运用灵活多样的教学方法;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28.着重阐述基本理论和基本概念，讲清教学内容的重点和难点。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2.2.3教学互动（4分）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29.在教学活动中设计互动环节，针对教学目的和教学重难点，通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过归纳互动问题、精选讨论案例等方式，加强学生在教学过程中的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主动参与;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30.培养学生的自主学习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意识</w:t>
            </w:r>
            <w:r>
              <w:rPr>
                <w:rFonts w:ascii="宋体" w:hAnsi="宋体" w:eastAsia="宋体" w:cs="宋体"/>
                <w:sz w:val="24"/>
                <w:szCs w:val="32"/>
              </w:rPr>
              <w:t>和创新能力。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教学活动中典型案例总结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2.2.4教学形式规范（4分）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31.在课堂上应采用普通话进行讲授，做到语言清晰流畅，书写、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绘图工整规范。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32.严格按照安排组织教学，不得任意增加或削减课时。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2.3多媒体教学（6分）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2.3.1课件制作（2分）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33.根据教学需要制作电子课件，课件内容要与教学内容相-一致，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科学准确，符合学生认知规律。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2.3.2（多媒体操作（4分））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34.课前做好充分的准备工作，熟练掌握操作规程。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35.遇停电或多媒体设备不能正常使用时，应坚持用其它方式讲课，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确保课堂教学正常进行。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</w:t>
            </w:r>
            <w:r>
              <w:rPr>
                <w:rFonts w:ascii="宋体" w:hAnsi="宋体" w:eastAsia="宋体" w:cs="宋体"/>
                <w:sz w:val="24"/>
                <w:szCs w:val="32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辅导答疑（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2.4.1落实辅导答疑环节（2分）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36.合理安排答疑时间和地点，做好学生的辅导、答疑工作，以个别答疑为主，对共性的问题可以进行集体辅导。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1.辅导答疑记录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</w:t>
            </w:r>
            <w:r>
              <w:rPr>
                <w:rFonts w:ascii="宋体" w:hAnsi="宋体" w:eastAsia="宋体" w:cs="宋体"/>
                <w:sz w:val="24"/>
                <w:szCs w:val="32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作业批改（6分）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2.5.1布置适量作业(4分)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37.结合教学要求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布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置适量作业(含专项练习题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提写论文、课堂演讲、读书报告等)。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38.每门课程不少于3次作业，以强化教学效果，提高学生自主学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习能力。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1.课程作业题目汇编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2.学生作业汇总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</w:t>
            </w:r>
            <w:r>
              <w:rPr>
                <w:rFonts w:ascii="宋体" w:hAnsi="宋体" w:eastAsia="宋体" w:cs="宋体"/>
                <w:sz w:val="24"/>
                <w:szCs w:val="32"/>
              </w:rPr>
              <w:t>5.2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批改作业（2分）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39.认真细致地批改学生作业，井做好作业成绩登记，作为评定学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生平时成绩的重要依据。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3.学生管理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（2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严格执行学生管理制度（1</w:t>
            </w:r>
            <w:r>
              <w:rPr>
                <w:rFonts w:ascii="宋体" w:hAnsi="宋体" w:eastAsia="宋体" w:cs="宋体"/>
                <w:sz w:val="24"/>
                <w:szCs w:val="32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考核学生出勤（4分）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40.严格要求学生按时上课。不得迟到，早退或旷课。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41.因病、因事而不能上课者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须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事先请假。应具有学生出勤记录。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1.近三年教学日志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规范学生行为（6分）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严格要求学生遵守高等学校学生行为准则。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42.进入教室衣着应大方，整洁得体: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43.严禁在教室内吸烟或将食物带进教室: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44.杜绝在课堂内睡觉或大声喧哗。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1.课堂管理总结报告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维护教学纪律（6分）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45.严格要求学生自觉遵守课堂纪律，保持教室肃静: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46.认真听讲，积极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参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加课堂研讨，不得做与上课无关的事情。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47.督促学生按照学习要求，合理进行预习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复习，认真完成作业。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强调尊重教师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强调尊重教师（4分）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48.教育学生尊重教师: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49.对学生和相关部门提出的关于教学工作的意见，应认真吸纳，及时整改。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教育学生爱护教学设施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教育学生爱护教学措施（2分）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50.严格要求学生爱护各类教学设施，不得挪动。损坏教学设施，严禁在课桌椅、墙璧等教学设施上涂画、张贴。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4.实验教学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（1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分，无此任务教师可不填）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实验设备管理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4分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实验安全管理（2分）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.对学生进行安全教育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采取必要的防护措施。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</w:t>
            </w:r>
            <w:r>
              <w:rPr>
                <w:rFonts w:ascii="宋体" w:hAnsi="宋体" w:eastAsia="宋体" w:cs="宋体"/>
                <w:sz w:val="24"/>
                <w:szCs w:val="32"/>
              </w:rPr>
              <w:t>.1.2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实验设备保障</w:t>
            </w:r>
            <w:r>
              <w:rPr>
                <w:rFonts w:ascii="宋体" w:hAnsi="宋体" w:eastAsia="宋体" w:cs="宋体"/>
                <w:sz w:val="24"/>
                <w:szCs w:val="32"/>
              </w:rPr>
              <w:t>(2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</w:t>
            </w:r>
            <w:r>
              <w:rPr>
                <w:rFonts w:ascii="宋体" w:hAnsi="宋体" w:eastAsia="宋体" w:cs="宋体"/>
                <w:sz w:val="24"/>
                <w:szCs w:val="32"/>
              </w:rPr>
              <w:t>)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52.加强实验教学的管理，保证实验设备和器材的正常运行。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实验室安全管理制度清单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实验教学组织（8分）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指导实验（4分）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53.按照教学要求制订实验指导，明确实验目的、要求和内容；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54.实验教师应认真准备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指导学生实验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取得可靠数据，分析实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验结果。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实验教学过程管理记录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实验检查与监督（4分）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55.加强对学生实验的检查和监督，及时处理实验过程中出现的问题。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56.认真审核学生实验方案和实验数据，及时批改学生的实验报告。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5.实习实训教学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（1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分，无此任务教师可不填）</w:t>
            </w:r>
          </w:p>
        </w:tc>
        <w:tc>
          <w:tcPr>
            <w:tcW w:w="102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实习实训组织（8分）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5.1.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实习实训安排（2分）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57.根据专业培养目标和教学计划制订实习实训大纲，确定实习实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训内容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选定实习实训场所，落实学习计划。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实验教学大纲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实习实训安全教育（4分）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58.实习实训过程中必须加强思想政治工作和安全教育: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59.做好安全防护工作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妥善安排好学生的生活。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实习实训考核（2分）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60.实习实训结束时应及时做好考核，根据学生实习实训情况进行评分，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并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做好总结工作。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1.实习实训计划；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2.实习实训报告汇总。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788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</w:t>
            </w:r>
            <w:r>
              <w:rPr>
                <w:rFonts w:ascii="宋体" w:hAnsi="宋体" w:eastAsia="宋体" w:cs="宋体"/>
                <w:sz w:val="24"/>
                <w:szCs w:val="32"/>
              </w:rPr>
              <w:t>.2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实习实训教学指导（4分）</w:t>
            </w:r>
          </w:p>
        </w:tc>
        <w:tc>
          <w:tcPr>
            <w:tcW w:w="212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实习实训教学指导（4分）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6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.提前确定实习实训指导教师，指导教师要明确分工，根据实习实训现场具体情况制订实习实训进程计划，实习实训内容与要求。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62.对新开辟的实习实训场所或首次指导实习实训的教师，应在学生进场前提前到现场作好准备工作。</w:t>
            </w:r>
          </w:p>
        </w:tc>
        <w:tc>
          <w:tcPr>
            <w:tcW w:w="2856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393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标准化建设总分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(不含实验、实训实习)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(达标:≥98分)</w:t>
            </w:r>
          </w:p>
        </w:tc>
        <w:tc>
          <w:tcPr>
            <w:tcW w:w="749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8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标准化建设总分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(含实验。实训实习)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(达标:≥120分)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</w:rPr>
      </w:pPr>
    </w:p>
    <w:p>
      <w:pPr>
        <w:jc w:val="center"/>
        <w:rPr>
          <w:rFonts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安徽省普通高校基本教学活动示范建设评价表</w:t>
      </w:r>
    </w:p>
    <w:p>
      <w:pPr>
        <w:jc w:val="center"/>
        <w:rPr>
          <w:rFonts w:ascii="黑体" w:hAnsi="黑体" w:eastAsia="黑体" w:cs="黑体"/>
          <w:sz w:val="16"/>
          <w:szCs w:val="16"/>
        </w:rPr>
      </w:pPr>
    </w:p>
    <w:tbl>
      <w:tblPr>
        <w:tblStyle w:val="5"/>
        <w:tblW w:w="14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335"/>
        <w:gridCol w:w="9540"/>
        <w:gridCol w:w="129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9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指标</w:t>
            </w:r>
          </w:p>
        </w:tc>
        <w:tc>
          <w:tcPr>
            <w:tcW w:w="1335" w:type="dxa"/>
            <w:vAlign w:val="center"/>
          </w:tcPr>
          <w:p>
            <w:pPr>
              <w:ind w:firstLine="241" w:firstLineChars="100"/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观测点</w:t>
            </w:r>
          </w:p>
        </w:tc>
        <w:tc>
          <w:tcPr>
            <w:tcW w:w="95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评价要点</w:t>
            </w:r>
            <w:bookmarkStart w:id="0" w:name="_GoBack"/>
            <w:bookmarkEnd w:id="0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支撑材料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评分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(示范达标，每项计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2分，教学方式除外。）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1.教学目标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1.1因材施教（4分）</w:t>
            </w:r>
          </w:p>
        </w:tc>
        <w:tc>
          <w:tcPr>
            <w:tcW w:w="9540" w:type="dxa"/>
            <w:vAlign w:val="center"/>
          </w:tcPr>
          <w:p>
            <w:pPr>
              <w:tabs>
                <w:tab w:val="left" w:pos="312"/>
              </w:tabs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1.坚持以学生为中心的教学理念，根据教学活动的内容，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悉心研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究教学对象，了解学生的有关情况，注重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因材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施教，合理组织教学内容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选用科学有效的教学方式和方法，力求做到教学内容与方法的优化组合。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1.2着重培养学生能力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（</w:t>
            </w:r>
            <w:r>
              <w:rPr>
                <w:rFonts w:ascii="宋体" w:hAnsi="宋体" w:eastAsia="宋体" w:cs="宋体"/>
                <w:sz w:val="24"/>
                <w:szCs w:val="32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2.注意教学活动与其它相关教学活动内容的衔接和配合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重视授课效果的信息反馈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在教学中精益求精，突出重点，处理好难点，着力培养学生的自学能力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实践能力和创新能力。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3.在实验教学中注重开发综合性、设计性实验，加强对学生的综合应用能力和动手能力的培养。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79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2.教学方式</w:t>
            </w:r>
          </w:p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启发式教学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（</w:t>
            </w:r>
            <w:r>
              <w:rPr>
                <w:rFonts w:ascii="宋体" w:hAnsi="宋体" w:eastAsia="宋体" w:cs="宋体"/>
                <w:sz w:val="24"/>
                <w:szCs w:val="32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4.启发式教学。在教学活动中加强互动环节设计，采用启发式教学，融入问题引导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创设情境，师生研讨等多种启发式教学方法，引导学生积极思维，调动学生参与课堂教学的广度和深度，激发学生保持良好的听课状态。力求使教与学两方面协调-致、共同发展。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5.课堂教学中的互动时间不低于总课程学时的1/3,其中学生主动参与时间占互动时间不低于1/2。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教学方式总结报告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9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2.2信息化教学（</w:t>
            </w:r>
            <w:r>
              <w:rPr>
                <w:rFonts w:ascii="宋体" w:hAnsi="宋体" w:eastAsia="宋体" w:cs="宋体"/>
                <w:sz w:val="24"/>
                <w:szCs w:val="32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6.在教学中充分利用现代信息技术和信息资源，开发课件，视频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教学软件等教学资源，充分运用网络教学平台，优化教学过程，科学地安排教学的各个环节和要素，创新教学模式和教学方法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提高学生的学习兴趣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支持学生的自主探究学习，提高教学质量和效率。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7.信息化教学应依托网络教学平台，在平台上具有完整教学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资源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(课程简介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教师队伍、教学大纲、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授课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教案、作业习题、资料库等)，以及教学环节数据(学生利用网络教学平台学习课程相关资源的线上学习数据，包括签到，讨论等课堂教学过程中的互动教学数据，学生提供的课外阅读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课程作业等课后学习反馈数据)。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2.3多元化结合（</w:t>
            </w:r>
            <w:r>
              <w:rPr>
                <w:rFonts w:ascii="宋体" w:hAnsi="宋体" w:eastAsia="宋体" w:cs="宋体"/>
                <w:sz w:val="24"/>
                <w:szCs w:val="32"/>
              </w:rPr>
              <w:t>14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突破传统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教学模式，根据教学内容开展多种教学方式、教学环节的互动结合。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8.课堂教学与课后辅导(答疑)结合。在课后有计划，有准备地进行阶段性辅导，在辅导答疑的过程中，既热情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帮助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基础较差的学生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又注意发现与培养优秀的学生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阶段性辅导在整个课程教学过程中应不少于3次，课后辅导答疑应有完备的记录。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9.课堂教学与课后练习结合。配合授课进度精选作业，培养学生分析解决问题的能力和独立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钻研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的精神，汇总并分析学生作业中出现的问题，有针对性地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给与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指导，改进教学。教师应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具有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学生课后作业共性问题的分析记录和相应的教学改进措施。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10.课堂教学与实践教学结合。在教学过程中注重学生知识应用能力的培养，讲课内容结合知识的实际应用场景，加深学生对理论知识的认识。教师在课程教学过程中应有1/4以上的学时用于模拟实际应用场景授课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提高学生将知识应用于实践的能力。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11.课堂教学与创新创业教育结合。在传授专业知识的过程中融入创新创业教育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全面促进创新创业教育与专业教育深度融合，教师应以训练学生创新能力为目的，探索头脑风暴法、分组讨论法、角色扮演法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案例分析法、情景模拟法、游戏体验法等数学方法改革，培养学生的发散思维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批判性思维、洞察力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决策力</w:t>
            </w:r>
            <w:r>
              <w:rPr>
                <w:rFonts w:hint="eastAsia" w:ascii="宋体" w:hAnsi="宋体" w:eastAsia="宋体" w:cs="宋体"/>
                <w:sz w:val="24"/>
                <w:szCs w:val="3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组织协调能力与领导力等各项创新创业素质。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.教学研究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</w:t>
            </w: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教学改革研究（</w:t>
            </w:r>
            <w:r>
              <w:rPr>
                <w:rFonts w:ascii="宋体" w:hAnsi="宋体" w:eastAsia="宋体" w:cs="宋体"/>
                <w:sz w:val="24"/>
                <w:szCs w:val="32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12.积极参与教学改革，重视教学研究，不断提高学术水平和业务水平。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13.在保证完成教学大纲规定的教学内容的前提下，推进课程思政，推进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课程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融合，把最新相关研究成果融入课堂教学之中。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14.应具有与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所授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课程相关的校级以上教学改革研充立项项目。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.教学改革研究总结报告；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2.教学研究项目立项清单。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</w:p>
        </w:tc>
        <w:tc>
          <w:tcPr>
            <w:tcW w:w="1335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3.</w:t>
            </w:r>
            <w:r>
              <w:rPr>
                <w:rFonts w:ascii="宋体" w:hAnsi="宋体" w:eastAsia="宋体" w:cs="宋体"/>
                <w:sz w:val="24"/>
                <w:szCs w:val="32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教学活动总结（</w:t>
            </w:r>
            <w:r>
              <w:rPr>
                <w:rFonts w:ascii="宋体" w:hAnsi="宋体" w:eastAsia="宋体" w:cs="宋体"/>
                <w:sz w:val="24"/>
                <w:szCs w:val="32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分）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15.教学活动结束后，做好教学文件的收集整理，认真总结教学情况，分析学生学习情况，研究各教学环节的配合，反思整个教学安排；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16.总结教学过程中的经验教训，提出改进办法和完善建议。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17.应具有所授课程的教学总结材料，以及1篇与</w:t>
            </w: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所授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课程相关的公开发表教研论文。</w:t>
            </w:r>
          </w:p>
        </w:tc>
        <w:tc>
          <w:tcPr>
            <w:tcW w:w="129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32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32"/>
              </w:rPr>
              <w:t>.公开发表教研论文统计表；</w:t>
            </w:r>
          </w:p>
          <w:p>
            <w:pPr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</w:rPr>
              <w:t>2.教学活动总结报告。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评分说明</w:t>
            </w:r>
          </w:p>
        </w:tc>
        <w:tc>
          <w:tcPr>
            <w:tcW w:w="9540" w:type="dxa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共50分，其中“教学目标”(1-3项)、“教学研究"(12-17项)，每项4分；“教学方式”中任何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个观测点，均计14分。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示范创建评分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32"/>
              </w:rPr>
              <w:t>(达标:≥48分)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32"/>
              </w:rPr>
            </w:pPr>
          </w:p>
        </w:tc>
      </w:tr>
    </w:tbl>
    <w:p>
      <w:pPr>
        <w:jc w:val="left"/>
        <w:rPr>
          <w:rFonts w:ascii="黑体" w:hAnsi="黑体" w:eastAsia="黑体" w:cs="黑体"/>
          <w:sz w:val="32"/>
          <w:szCs w:val="40"/>
        </w:rPr>
      </w:pPr>
      <w:r>
        <w:rPr>
          <w:rFonts w:hint="eastAsia" w:cs="黑体" w:asciiTheme="minorEastAsia" w:hAnsiTheme="minorEastAsia"/>
          <w:sz w:val="24"/>
        </w:rPr>
        <w:t>附注:在符合标准化基础上，满足示范标准中“教学目标”和“教学研究”指标中标准，并达到“教学方式”指标中的一项标准者，可以申请创建教学示范课。</w:t>
      </w: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17258395"/>
      <w:docPartObj>
        <w:docPartGallery w:val="autotext"/>
      </w:docPartObj>
    </w:sdtPr>
    <w:sdtEndPr>
      <w:rPr>
        <w:sz w:val="36"/>
        <w:szCs w:val="36"/>
      </w:rPr>
    </w:sdtEndPr>
    <w:sdtContent>
      <w:p>
        <w:pPr>
          <w:pStyle w:val="2"/>
          <w:jc w:val="center"/>
          <w:rPr>
            <w:sz w:val="36"/>
            <w:szCs w:val="36"/>
          </w:rPr>
        </w:pPr>
        <w:r>
          <w:rPr>
            <w:sz w:val="36"/>
            <w:szCs w:val="36"/>
          </w:rPr>
          <w:fldChar w:fldCharType="begin"/>
        </w:r>
        <w:r>
          <w:rPr>
            <w:sz w:val="36"/>
            <w:szCs w:val="36"/>
          </w:rPr>
          <w:instrText xml:space="preserve">PAGE   \* MERGEFORMAT</w:instrText>
        </w:r>
        <w:r>
          <w:rPr>
            <w:sz w:val="36"/>
            <w:szCs w:val="36"/>
          </w:rPr>
          <w:fldChar w:fldCharType="separate"/>
        </w:r>
        <w:r>
          <w:rPr>
            <w:sz w:val="36"/>
            <w:szCs w:val="36"/>
            <w:lang w:val="zh-CN"/>
          </w:rPr>
          <w:t>2</w:t>
        </w:r>
        <w:r>
          <w:rPr>
            <w:sz w:val="36"/>
            <w:szCs w:val="36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811AF0"/>
    <w:multiLevelType w:val="singleLevel"/>
    <w:tmpl w:val="82811AF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3ZmU1M2MxOTZmZmEyZTEzYmM0ZWIxMTNjNjY5YjQifQ=="/>
  </w:docVars>
  <w:rsids>
    <w:rsidRoot w:val="667C1506"/>
    <w:rsid w:val="00140820"/>
    <w:rsid w:val="00170671"/>
    <w:rsid w:val="00351108"/>
    <w:rsid w:val="003A6DA4"/>
    <w:rsid w:val="003C5E6B"/>
    <w:rsid w:val="005462E7"/>
    <w:rsid w:val="007C3419"/>
    <w:rsid w:val="007D4CE6"/>
    <w:rsid w:val="008256C1"/>
    <w:rsid w:val="009F2962"/>
    <w:rsid w:val="00A16AB4"/>
    <w:rsid w:val="00AE2FF0"/>
    <w:rsid w:val="00DC2706"/>
    <w:rsid w:val="00DC5E60"/>
    <w:rsid w:val="00E511AD"/>
    <w:rsid w:val="00EE6FDF"/>
    <w:rsid w:val="06E8296A"/>
    <w:rsid w:val="07476BC6"/>
    <w:rsid w:val="0BBB1910"/>
    <w:rsid w:val="12B55729"/>
    <w:rsid w:val="18FB6E46"/>
    <w:rsid w:val="210539E0"/>
    <w:rsid w:val="222C314D"/>
    <w:rsid w:val="29B54F18"/>
    <w:rsid w:val="2E414656"/>
    <w:rsid w:val="2EAC12E4"/>
    <w:rsid w:val="360B299E"/>
    <w:rsid w:val="594A1760"/>
    <w:rsid w:val="5E3603AE"/>
    <w:rsid w:val="667C1506"/>
    <w:rsid w:val="6A2C330F"/>
    <w:rsid w:val="761D341B"/>
    <w:rsid w:val="77906FEF"/>
    <w:rsid w:val="7A715E68"/>
    <w:rsid w:val="7BA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487</Words>
  <Characters>2782</Characters>
  <Lines>23</Lines>
  <Paragraphs>6</Paragraphs>
  <TotalTime>11</TotalTime>
  <ScaleCrop>false</ScaleCrop>
  <LinksUpToDate>false</LinksUpToDate>
  <CharactersWithSpaces>3263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2022-06-02T10:12:00Z</dcterms:created>
  <dc:creator>Mr.伟先生</dc:creator>
  <cp:lastModifiedBy>l</cp:lastModifiedBy>
  <cp:lastPrinted>2022-06-07T01:30:00Z</cp:lastPrinted>
  <dcterms:modified xsi:type="dcterms:W3CDTF">2022-11-11T01:31:00Z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D7E341EF7DE4420B85A3C14C4872CAF4</vt:lpwstr>
  </property>
</Properties>
</file>