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rFonts w:hint="eastAsia"/>
          <w:b/>
          <w:bCs/>
          <w:sz w:val="32"/>
          <w:szCs w:val="40"/>
          <w:lang w:val="en-US" w:eastAsia="zh-CN"/>
        </w:rPr>
        <w:t>2-1</w:t>
      </w:r>
      <w:r>
        <w:rPr>
          <w:rFonts w:hint="eastAsia"/>
          <w:b/>
          <w:bCs/>
          <w:sz w:val="32"/>
          <w:szCs w:val="40"/>
        </w:rPr>
        <w:t>:安徽省普通高校基层教学组织标准化与示范建设评价表</w:t>
      </w:r>
    </w:p>
    <w:tbl>
      <w:tblPr>
        <w:tblStyle w:val="5"/>
        <w:tblW w:w="15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156"/>
        <w:gridCol w:w="1932"/>
        <w:gridCol w:w="7743"/>
        <w:gridCol w:w="2778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61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156" w:type="dxa"/>
          </w:tcPr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指标</w:t>
            </w:r>
          </w:p>
        </w:tc>
        <w:tc>
          <w:tcPr>
            <w:tcW w:w="19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观测点</w:t>
            </w:r>
          </w:p>
        </w:tc>
        <w:tc>
          <w:tcPr>
            <w:tcW w:w="774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评审要点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(说明:标准化100项，1-71项每项1分， 72项29分: 示范建设50分，1-35 项,每项1分，36-38项，每项5分)</w:t>
            </w:r>
          </w:p>
        </w:tc>
        <w:tc>
          <w:tcPr>
            <w:tcW w:w="277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支撑材料清单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评分(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合</w:t>
            </w:r>
            <w:r>
              <w:rPr>
                <w:rFonts w:hint="eastAsia"/>
                <w:sz w:val="21"/>
                <w:szCs w:val="21"/>
                <w:vertAlign w:val="baseline"/>
              </w:rPr>
              <w:t>格得1分。不合格0分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  <w:r>
              <w:rPr>
                <w:rFonts w:hint="eastAsia"/>
                <w:sz w:val="21"/>
                <w:szCs w:val="21"/>
                <w:vertAlign w:val="baseline"/>
              </w:rPr>
              <w:t>示范达标得1分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  <w:vertAlign w:val="baseline"/>
              </w:rPr>
              <w:t>未达标0分)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61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分）</w:t>
            </w:r>
          </w:p>
        </w:tc>
        <w:tc>
          <w:tcPr>
            <w:tcW w:w="1156" w:type="dxa"/>
            <w:vMerge w:val="restart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1.1组织设置（3分）</w:t>
            </w:r>
          </w:p>
        </w:tc>
        <w:tc>
          <w:tcPr>
            <w:tcW w:w="1932" w:type="dxa"/>
            <w:vAlign w:val="center"/>
          </w:tcPr>
          <w:p>
            <w:pPr>
              <w:spacing w:line="72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设置程序（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1. 按照学科、专业或课程(群、组)设置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;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2.设置程序符合规范。</w:t>
            </w:r>
          </w:p>
        </w:tc>
        <w:tc>
          <w:tcPr>
            <w:tcW w:w="2778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1.学院批文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;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2.学校备案表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.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61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72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组织名称（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3.命名规范。以学科(专业)名称命名，含多个学科(专业)的可使用多个学科(专业)的组合命名或以主干学科(专业)的名称命名，也可以课程或课程群(组)命名。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命名方式(学科、专业或课程群，可多选)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61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restart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1.2组织运行（11分）</w:t>
            </w:r>
          </w:p>
        </w:tc>
        <w:tc>
          <w:tcPr>
            <w:tcW w:w="1932" w:type="dxa"/>
            <w:vAlign w:val="center"/>
          </w:tcPr>
          <w:p>
            <w:pPr>
              <w:spacing w:line="72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组织制度（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4.基层教学组织认真执行学校、教学单位各种教学与管理规章制度;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.根据具体情况制定本单位实施细则，规范本单位活动内容和活动方式，进行科学管理(含岗位责任制、教研活动和例会制、试讲制、师制度、教学过程管理制、检查考核制、档案资科管理制、经费使用审批度等)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学院或专业系制定的相关制度清单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61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人员职责（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6.学校在编及兼职教师均应纳入基层教学组织(教研室)管理，参与组织活动: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7.设1 名主要负责人:编制在10人以上的，根据工作需要，可设副职1名，协助主要负责人工作;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8.负责人由民主推荐，报教务处、人事处审核备案，聘期3-5年，可连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任。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1. 专业系教师情况统计表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2.历届负责人及现任负责人简况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3.专业沿革情况表(一流专业)。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1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72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工作要求（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9.接受所在教学单位领导和管理及学校教务部门业务指导，并对全体人员工作岗位提出责任要求，明确职责，包括负责人职责、主讲教师职责及各工作环节责任和要求等。工作中重大问题，应提交全体会议讨论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10.教学单位行政主要负责人是第一责任人，副职是主要责任人，也是直接责任人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11.教研室活动应制定有详细的教研室活动计划，活动主题目标明确、切合实际、可操作性强，认真记录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12.学期结束后及时总结活动开展情况，井有典型活动成果材料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；一般两周开展一次活动。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专业系年度计划、总结、活动记录本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61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示范指标（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(1)有健全的规章制度并认真执行: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(2)有年度工作计划、工作重点与工作总结: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(3)管理科学，执行有力,落实到位。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restart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2.</w:t>
            </w:r>
          </w:p>
          <w:p>
            <w:pPr>
              <w:bidi w:val="0"/>
              <w:jc w:val="left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职</w:t>
            </w:r>
          </w:p>
          <w:p>
            <w:pPr>
              <w:bidi w:val="0"/>
              <w:jc w:val="left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能</w:t>
            </w:r>
          </w:p>
          <w:p>
            <w:pPr>
              <w:bidi w:val="0"/>
              <w:jc w:val="left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发</w:t>
            </w:r>
          </w:p>
          <w:p>
            <w:pPr>
              <w:bidi w:val="0"/>
              <w:jc w:val="left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挥</w:t>
            </w:r>
          </w:p>
          <w:p>
            <w:pPr>
              <w:bidi w:val="0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（87分）</w:t>
            </w:r>
          </w:p>
        </w:tc>
        <w:tc>
          <w:tcPr>
            <w:tcW w:w="1156" w:type="dxa"/>
            <w:vMerge w:val="restart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2.1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教学任务落实（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13.按照人才培养方案及教学计划，组织落实所承担课程的教学及其它各项教学任务。对备课、投课、辅导答疑、作业布置与批改、考试或考查、实验、实习(实训)、 课程设计、毕业论文等各教学工作环节进行指导、检查和督促，按要求完成各项教学工作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14. 每位教师均完成学校规定的额定教学工作量(双肩挑除外);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15.未出现因无人上课而调整教学计划情况:每学期人均调停课不超过1次。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示范指标（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(4)高质量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完</w:t>
            </w:r>
            <w:r>
              <w:rPr>
                <w:rFonts w:hint="eastAsia"/>
                <w:sz w:val="21"/>
                <w:szCs w:val="21"/>
                <w:vertAlign w:val="baseline"/>
              </w:rPr>
              <w:t>成本单位各项教学任务。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(5)教学工作量饱满，人均教学工作量达学校额定工作。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(6)无任何教学事故发生。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教学基本文件（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</w:rPr>
              <w:t>6.教学基本文件(包括课程教学大纲、教案，课程表、教学任务书、教学日历、考试安排、教学参考资料、实验(实习、实训)指导书、试题(卷)库、教学实习计划、网络学习材料等)齐全完备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17.教学大纲及时修订、课程内容及时更新，教案编写规范，作业批改认真并反馈到教学中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18.试卷库按1学分5套试卷配齐。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1. 近3年教学基本文件清单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2. 2015、2017. 2019版课程教学大纲汇编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3.试卷库清单。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课堂教学质量较高（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19.教师立德树人，师德师风良好。课堂教学规范，教学纪律严格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20.严格执行课程进程计划，教学进程与学校保持一致， 变动经过批准课堂教学教学日历、 日志填写规范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21. 教学效果满意度高，每学年开展有教学评价和教学质量分析。学生评教整体在良好以上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22.近三年无违反高校教师职业道德规范和校规校纪现象: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23.无随意调停课、迟到、提前下课等教学事故发生。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1.近3年教学质量考核表;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2.近3年教师违规违纪统计表.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示范指标（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(7)积极开展课程教学质量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与</w:t>
            </w:r>
            <w:r>
              <w:rPr>
                <w:rFonts w:hint="eastAsia"/>
                <w:sz w:val="21"/>
                <w:szCs w:val="21"/>
                <w:vertAlign w:val="baseline"/>
              </w:rPr>
              <w:t xml:space="preserve">效果的分析和评价: 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(8)教师任教课程在专家评价、同行评价、学生评价中获得好评，全部优良以上，其中三分之一为优秀。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restart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考试管理规范（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24.根据考试大纲(结合题库、试卷库)命题:考后及时进行试卷批阅、分析，成绩登录无误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25.考试试券、答卷、试卷分析等材料规范存档，保存完整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26.试卷试题质量高，难易度、题量，题型合理，与教学大纲要求一致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27.学生成绩呈正态分布。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1.近三年考试课程清单；</w:t>
            </w: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2.近三年考试情况自评总结。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2.2教学建设（41分）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专业建设（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28.在教学单位组织下参与制订专业建设规划、新专业论证、专业评估、专业建设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规划；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29.落实示范专业、特色专业、综合改革试点专业等建设任务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30.参与制定专业人才培养方案。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 xml:space="preserve"> 1. 专业建设规划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 xml:space="preserve">2.新专业论证材料: 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3.专业评估或认证材料: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4.专业培养方案修订总结。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示范指标（5分）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(9)开展专业相关产业和领域人才需求分析，研究制定或落实专业建设规划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(10)定期修订人才培养方案，达到国家专业类教学质量标准以上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(11)建设有校级及以上特色专业或综合改革试点专业，专业评估优秀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(12)积极开展专业认证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(13)无专业建设任务的基层教学组织有效保障和支持专业建设。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课程建设（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31.制定有课程建设规划，每门课程有教学大纲: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32.开展精品课程、特色课程、双语课程、网络课程等建设:建没有校级以上重点建设的课程(精品课程、特色课程、双语课程、网络课程等)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33.引进或开发多媒体课件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34.参与课程相关的实验空和资料室等辅助教学设施的建设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35.能运用网络课程进行辅助课堂教学。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1.课程建设规划;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2.四类课程清单: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3.多媒体课件清单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4.智慧教学使用情况统计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5.专业教学所依托实验室资料室统计表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示范指标（2分）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(14)积极开设新课程，积极建设精品课程与双语课程，成效好: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(15)有省级以上精品课程、双语课程或精品视频公开课、精品资源共享课、MOOCS 等2门以上，已立项的相关课程验收合格.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教材建设（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36. 根据课程建设需要，制定教材建设规划，组织编写高质量教材和教辅资料。主编不少于2种省级以上规划教材(规定必须选用国家教材的除外)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37.遵循择优选用原则，使用国家统编教材、新教材或高质量教材(含实践教学教材)。教村选用与评估制度运行好。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1.主编或参编教材统计表；</w:t>
            </w: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2.课程教材统计表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示范指标（2分）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(16)积极编写精品教材与特色教材，成效好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(17)主编有国家级规划教材，获得过省级以上优秀教材奖励。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Merge w:val="restart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师资队伍建设（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38.根据学校和本单位师资培养规划，报定教师培养计划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39.加强中青年教师的培养工作，指定专人对青年教师实行传、帮、带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  <w:r>
              <w:rPr>
                <w:rFonts w:hint="eastAsia"/>
                <w:sz w:val="21"/>
                <w:szCs w:val="21"/>
                <w:vertAlign w:val="baseline"/>
              </w:rPr>
              <w:t xml:space="preserve"> 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40. 优化师资队伍结构，加强教学团队建设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41.积极参加课堂教学大奖赛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42.近三年不少于1/2教师参加国内外教学研讨会议:43.选派有青年骨干教师3个月以上的进修访学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44.教师获得校级以上教学类奖项不少于2项。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1.师资队伍建设计划；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2.青年教师与导师结对情况表: 3.教学团队统计表；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4.教师参加教学比赛及获奖情况统计表；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5.教师参加各类研讨会统计表；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6.教师进修访学统计表；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7.教学名师、师德标兵统计表。</w:t>
            </w:r>
          </w:p>
        </w:tc>
        <w:tc>
          <w:tcPr>
            <w:tcW w:w="1237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示范指标（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(18)成立5年以上，有10人及以上成员，年龄结构、学历结构、学缘结构合理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(19)负责人组织与领导教研教改工作能力较强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(20)有校级以上教学名师或师德标兵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(21)校级以上教学团队不少于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1个；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(22)成员积极参加学校组织的各项教学竞赛活动，在课堂教学竞赛、微课教学竞赛、现代教育技术应用等竞赛中获得过省级以上奖励。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实验室（实训室）建设（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45.做好实验室(实训室)的计划管理、技术管理、固定资产管理和经费管理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46.组织实验室(实训室)建设的检查验收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47.设备利用率。完好率达95%以上;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48.实验开出率达100%。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1.实验室实验项目统计表；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2.实验室管理自评总结。</w:t>
            </w:r>
          </w:p>
        </w:tc>
        <w:tc>
          <w:tcPr>
            <w:tcW w:w="1237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基地建设（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49.改善实习(实训)条件，健全实习(实训)管理规章制度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50.建设相对稳定的校外实习(实训)基地;建设有1个以上省级以上校内外人才培养基地设或2个以上校级人才培养基地。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1.实习(实训)基地清单；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2.实习(实训)基地管理制度；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3.校企合作项目统计表；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4.创新创业协同育人项目统计表: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5.指导学生获奖情况统计表。</w:t>
            </w:r>
          </w:p>
        </w:tc>
        <w:tc>
          <w:tcPr>
            <w:tcW w:w="1237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restart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示范指标（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(23)科学制定实践教学方案，规范设置实践教学环节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(24)科教协同、产教融合、校企合作紧密，具有满足教学需要的校内实验实训中心和校外实践教学基地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(25)推进创新创业教育改革，1/3 以上的教师能够指导创新创业项目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(26)积极鼓励与组织学生积极参加各种学科教学竞赛活动，指导学生获得过校级、省级、国家级各类学科竞赛奖励。学生获得省级及以上创新创业大赛、学科技能竞赛等奖项或公开发表论文。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restart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2.3教学改革（21分）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业务学习（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51.积极开展教育思想观念大讨论，组织教师学习教育理论，更新教育观念，提高理论素养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52.将业务学习与政治学习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相</w:t>
            </w:r>
            <w:r>
              <w:rPr>
                <w:rFonts w:hint="eastAsia"/>
                <w:sz w:val="21"/>
                <w:szCs w:val="21"/>
                <w:vertAlign w:val="baseline"/>
              </w:rPr>
              <w:t>结合。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学习活动记录、自评总结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示范指标（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(27)持续开展教育思想观念大讨论，教育思想概念先进，充分认识基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层教学组织(教研室)的地位与作用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(28)与基层党组织、教学团队、学术团队融为一体，协调发展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教学研讨（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  <w:t>53.每2周开展一次教学研究活动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  <w:t>54. 负责人每学期必须听本单位教师4节课以上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  <w:t>55.集体备课每学期不少于2节课，相互听课每学期不少于2节课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  <w:t>56.观摩教学每学期不少于1次，每次不少于1学时。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1.听课统计表；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2.备课统计表；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3.观摩课统计表(签字表)。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示范指标（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(29)积极开展集体各课、集体制作多媒体课件与公开课教学等教学研讨活动，1周开展-次教学研究活动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(30)组织教师相互听课、评课与交流，有记录，文档保存完整。每学期负责人必须听本单位教师15节课以上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(31)集体备课每学期不少于8节课、相互听课每学期不少于8节课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(32)观摩教学每学期不少于4次，每次不少于2小时。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教学研究（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积极开展教育教学研究，参与教育教学改革，承担教育教学研究项 目:近三年主持校级以上教学改革项目不少于3项或参与省级以上教改项目不少于2项(排名前3位)，发表不少于3篇教研论文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58.教学改革成果推广应用到实际教学活动中，效果良好；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59.有校级以上教学成果奖( 参与限排名前三位)；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60.开展创新创业教育改革，指导学生获得有校级以上创新创业大赛、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学科竞赛奖项等，或公开发表论文。</w:t>
            </w:r>
          </w:p>
        </w:tc>
        <w:tc>
          <w:tcPr>
            <w:tcW w:w="2778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近3年教学教改项目、教学成果、 创新创业、教学论文统计表；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教学改革成果推广总结。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示范指标（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积极组织开展教学内容、教学方法与手段的改革研究，有国家级教学改革研究立项项目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(34)发表了5篇及以上教学研究与改革方面的论文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(35)有核心级期刊教研教改论文。有1部及以上专著。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教育方法手段（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61. 采用启发式、研究式，讨论式等教学方法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62. 将信息技术与教育教学深度融合。多媒体投课比例达70%以上，运用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混合课堂、翻转课堂、智慧课堂等进行教学。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自评总结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2.4科学研究（5分）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科研水平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63.组织教师申报项目和参与课题研究工作。近三年教师主持与其科研方向一致的校级以上科研项目不少于5项或参与省级以上科研项目不少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于2项(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排</w:t>
            </w:r>
            <w:r>
              <w:rPr>
                <w:rFonts w:hint="eastAsia"/>
                <w:sz w:val="21"/>
                <w:szCs w:val="21"/>
                <w:vertAlign w:val="baseline"/>
              </w:rPr>
              <w:t>名前3位); .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64.公开发表学术论文不少于5篇，或二类以上论文不少于2篇，或正式出版论著 (仅限主编);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65.积极组织有关学术讲座，参加学术交流，活跃学术氛围，提高学术水平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66.发挥教师的专长和学科专业的优势开展社会服务活动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67.注重科教协同、产教融合，校企合作，具有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</w:rPr>
              <w:t>定成效。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科研项目、成果，学术讲座、举办学术会议、社会服务等统计表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61" w:type="dxa"/>
            <w:vMerge w:val="restart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3.条件保障（4分）</w:t>
            </w:r>
          </w:p>
        </w:tc>
        <w:tc>
          <w:tcPr>
            <w:tcW w:w="1156" w:type="dxa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3.1经费投入（2分）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专项经费</w:t>
            </w:r>
          </w:p>
        </w:tc>
        <w:tc>
          <w:tcPr>
            <w:tcW w:w="7743" w:type="dxa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设有专项办公经费。专项经费能满足教研室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日</w:t>
            </w:r>
            <w:r>
              <w:rPr>
                <w:rFonts w:hint="eastAsia"/>
                <w:sz w:val="21"/>
                <w:szCs w:val="21"/>
                <w:vertAlign w:val="baseline"/>
              </w:rPr>
              <w:t>常活动基本需要;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69.年人均经费不低于1500 元。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学院提供办公、业务经费(含师均)统计表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continue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3.2办公场地（2分）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固定场所</w:t>
            </w:r>
          </w:p>
        </w:tc>
        <w:tc>
          <w:tcPr>
            <w:tcW w:w="7743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70.</w:t>
            </w:r>
            <w:r>
              <w:rPr>
                <w:rFonts w:hint="eastAsia"/>
                <w:sz w:val="21"/>
                <w:szCs w:val="21"/>
                <w:vertAlign w:val="baseline"/>
              </w:rPr>
              <w:t>有固定的办公场所和相关办公设施: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71.人均教学办公面积在3平方米以上。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学院提供办公场所、设施(含师均)统计表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9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4.优势特色（29分）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72.创造性地开展与其工作任务相-一致的活动，在教学管理、教学效果及质量控制、教学研究与改革或课程建设等方面的特色。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自评总结并提供相应支撑材料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9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5.教学成果（示范指标，15分）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(36)获得省级以上教学成果奖励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(37)获得过优秀毕业论文指导老师，优秀实习指导老师，优秀创新工作室指导老师等其他校级及以上教学奖励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(38)成员入选国家级、省级、校级各类优秀人才培养项目。</w:t>
            </w: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教学奖励统计表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9" w:type="dxa"/>
            <w:gridSpan w:val="3"/>
          </w:tcPr>
          <w:p>
            <w:pPr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标准化建设总分（达标≥98分）</w:t>
            </w:r>
          </w:p>
        </w:tc>
        <w:tc>
          <w:tcPr>
            <w:tcW w:w="774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2778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示范建设总分（达标≥48分）</w:t>
            </w:r>
          </w:p>
        </w:tc>
        <w:tc>
          <w:tcPr>
            <w:tcW w:w="123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sz w:val="28"/>
          <w:szCs w:val="36"/>
        </w:rPr>
      </w:pPr>
    </w:p>
    <w:p>
      <w:pPr>
        <w:jc w:val="center"/>
        <w:rPr>
          <w:rFonts w:hint="eastAsia"/>
          <w:sz w:val="28"/>
          <w:szCs w:val="36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B5A3F6"/>
    <w:multiLevelType w:val="singleLevel"/>
    <w:tmpl w:val="E5B5A3F6"/>
    <w:lvl w:ilvl="0" w:tentative="0">
      <w:start w:val="5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D76E19C"/>
    <w:multiLevelType w:val="singleLevel"/>
    <w:tmpl w:val="1D76E19C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3B1B6EF7"/>
    <w:multiLevelType w:val="singleLevel"/>
    <w:tmpl w:val="3B1B6E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E3AE5FC"/>
    <w:multiLevelType w:val="singleLevel"/>
    <w:tmpl w:val="6E3AE5FC"/>
    <w:lvl w:ilvl="0" w:tentative="0">
      <w:start w:val="6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ZmU1M2MxOTZmZmEyZTEzYmM0ZWIxMTNjNjY5YjQifQ=="/>
  </w:docVars>
  <w:rsids>
    <w:rsidRoot w:val="77317531"/>
    <w:rsid w:val="010D4674"/>
    <w:rsid w:val="02DF71A7"/>
    <w:rsid w:val="035539EB"/>
    <w:rsid w:val="04B7168C"/>
    <w:rsid w:val="059F503D"/>
    <w:rsid w:val="07FC5336"/>
    <w:rsid w:val="0D424E2A"/>
    <w:rsid w:val="0E7079B4"/>
    <w:rsid w:val="11365115"/>
    <w:rsid w:val="13DE4296"/>
    <w:rsid w:val="14B702F1"/>
    <w:rsid w:val="16BA0495"/>
    <w:rsid w:val="192A1E22"/>
    <w:rsid w:val="1FE2358E"/>
    <w:rsid w:val="246D1242"/>
    <w:rsid w:val="2AAE4C30"/>
    <w:rsid w:val="2D69776B"/>
    <w:rsid w:val="2EE55A1E"/>
    <w:rsid w:val="2F273D31"/>
    <w:rsid w:val="305B5E38"/>
    <w:rsid w:val="30FC0507"/>
    <w:rsid w:val="3149124C"/>
    <w:rsid w:val="333E1EEE"/>
    <w:rsid w:val="35640A44"/>
    <w:rsid w:val="37F33940"/>
    <w:rsid w:val="39D5637E"/>
    <w:rsid w:val="3A124162"/>
    <w:rsid w:val="4136731F"/>
    <w:rsid w:val="41710418"/>
    <w:rsid w:val="492E6511"/>
    <w:rsid w:val="4BB67D9E"/>
    <w:rsid w:val="54567988"/>
    <w:rsid w:val="57F00CE7"/>
    <w:rsid w:val="584548CA"/>
    <w:rsid w:val="5E7514D0"/>
    <w:rsid w:val="60F47DE7"/>
    <w:rsid w:val="627647BA"/>
    <w:rsid w:val="628D0A61"/>
    <w:rsid w:val="63DA6DDA"/>
    <w:rsid w:val="667D2248"/>
    <w:rsid w:val="693375B8"/>
    <w:rsid w:val="69684F23"/>
    <w:rsid w:val="6D4751DF"/>
    <w:rsid w:val="6DF636A1"/>
    <w:rsid w:val="6F3B4EA3"/>
    <w:rsid w:val="6FAF1389"/>
    <w:rsid w:val="71A3400A"/>
    <w:rsid w:val="71B77A77"/>
    <w:rsid w:val="73DF33AB"/>
    <w:rsid w:val="77317531"/>
    <w:rsid w:val="7D0308CD"/>
    <w:rsid w:val="7E192908"/>
    <w:rsid w:val="7EA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835</Words>
  <Characters>882</Characters>
  <Lines>0</Lines>
  <Paragraphs>0</Paragraphs>
  <TotalTime>46</TotalTime>
  <ScaleCrop>false</ScaleCrop>
  <LinksUpToDate>false</LinksUpToDate>
  <CharactersWithSpaces>888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2022-05-26T07:03:00Z</dcterms:created>
  <dc:creator>Mr.伟先生</dc:creator>
  <cp:lastModifiedBy>来者即客</cp:lastModifiedBy>
  <cp:lastPrinted>2022-06-07T01:28:00Z</cp:lastPrinted>
  <dcterms:modified xsi:type="dcterms:W3CDTF">2022-06-08T01:43:59Z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9AFE26C2A93346F39E954988167D4FB3</vt:lpwstr>
  </property>
</Properties>
</file>